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4894"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3993"/>
        <w:gridCol w:w="1498"/>
        <w:gridCol w:w="3651"/>
      </w:tblGrid>
      <w:tr w:rsidR="00B5354D" w:rsidRPr="00B5354D" w:rsidTr="00DF1F9E">
        <w:trPr>
          <w:trHeight w:val="288"/>
        </w:trPr>
        <w:tc>
          <w:tcPr>
            <w:tcW w:w="399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B5354D" w:rsidRPr="00B5354D" w:rsidRDefault="00F10EE7" w:rsidP="0006610B">
            <w:pPr>
              <w:widowControl w:val="0"/>
              <w:jc w:val="center"/>
              <w:rPr>
                <w:b/>
                <w:bCs/>
              </w:rPr>
            </w:pPr>
            <w:r>
              <w:rPr>
                <w:b/>
                <w:bCs/>
              </w:rPr>
              <w:t>Compensation of Human Subjects in Research</w:t>
            </w:r>
          </w:p>
        </w:tc>
        <w:tc>
          <w:tcPr>
            <w:tcW w:w="14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B5354D" w:rsidRPr="00B5354D" w:rsidRDefault="00B5354D" w:rsidP="0006610B">
            <w:pPr>
              <w:widowControl w:val="0"/>
              <w:rPr>
                <w:sz w:val="20"/>
                <w:szCs w:val="20"/>
              </w:rPr>
            </w:pPr>
            <w:r w:rsidRPr="00B5354D">
              <w:rPr>
                <w:sz w:val="20"/>
                <w:szCs w:val="20"/>
              </w:rPr>
              <w:t>Document No.:</w:t>
            </w:r>
          </w:p>
        </w:tc>
        <w:tc>
          <w:tcPr>
            <w:tcW w:w="36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B5354D" w:rsidRPr="00B5354D" w:rsidRDefault="00B5354D" w:rsidP="0006610B">
            <w:pPr>
              <w:widowControl w:val="0"/>
              <w:tabs>
                <w:tab w:val="left" w:pos="2423"/>
              </w:tabs>
              <w:jc w:val="center"/>
              <w:rPr>
                <w:sz w:val="20"/>
                <w:szCs w:val="20"/>
              </w:rPr>
            </w:pPr>
            <w:r w:rsidRPr="00B5354D">
              <w:rPr>
                <w:sz w:val="20"/>
                <w:szCs w:val="20"/>
              </w:rPr>
              <w:t>HSC-2021-00</w:t>
            </w:r>
            <w:r w:rsidR="00F10EE7">
              <w:rPr>
                <w:sz w:val="20"/>
                <w:szCs w:val="20"/>
              </w:rPr>
              <w:t>4</w:t>
            </w:r>
          </w:p>
        </w:tc>
      </w:tr>
      <w:tr w:rsidR="00B5354D" w:rsidRPr="00B5354D" w:rsidTr="00DF1F9E">
        <w:trPr>
          <w:trHeight w:val="288"/>
        </w:trPr>
        <w:tc>
          <w:tcPr>
            <w:tcW w:w="3993"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B5354D" w:rsidRPr="00B5354D" w:rsidRDefault="00B5354D" w:rsidP="0006610B">
            <w:pPr>
              <w:widowControl w:val="0"/>
            </w:pPr>
          </w:p>
        </w:tc>
        <w:tc>
          <w:tcPr>
            <w:tcW w:w="14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B5354D" w:rsidRPr="00B5354D" w:rsidRDefault="00B5354D" w:rsidP="0006610B">
            <w:pPr>
              <w:widowControl w:val="0"/>
              <w:rPr>
                <w:sz w:val="20"/>
                <w:szCs w:val="20"/>
              </w:rPr>
            </w:pPr>
            <w:r w:rsidRPr="00B5354D">
              <w:rPr>
                <w:sz w:val="20"/>
                <w:szCs w:val="20"/>
              </w:rPr>
              <w:t xml:space="preserve"> Effective Date:</w:t>
            </w:r>
          </w:p>
        </w:tc>
        <w:tc>
          <w:tcPr>
            <w:tcW w:w="36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B5354D" w:rsidRPr="00B5354D" w:rsidRDefault="00423C30" w:rsidP="0006610B">
            <w:pPr>
              <w:widowControl w:val="0"/>
              <w:tabs>
                <w:tab w:val="left" w:pos="2423"/>
              </w:tabs>
              <w:jc w:val="center"/>
              <w:rPr>
                <w:sz w:val="20"/>
                <w:szCs w:val="20"/>
              </w:rPr>
            </w:pPr>
            <w:r>
              <w:rPr>
                <w:sz w:val="20"/>
                <w:szCs w:val="20"/>
              </w:rPr>
              <w:t xml:space="preserve">January </w:t>
            </w:r>
            <w:r w:rsidR="00085BEC">
              <w:rPr>
                <w:sz w:val="20"/>
                <w:szCs w:val="20"/>
              </w:rPr>
              <w:t>1, 202</w:t>
            </w:r>
            <w:r>
              <w:rPr>
                <w:sz w:val="20"/>
                <w:szCs w:val="20"/>
              </w:rPr>
              <w:t>2</w:t>
            </w:r>
          </w:p>
        </w:tc>
      </w:tr>
      <w:tr w:rsidR="00CD5C87" w:rsidRPr="00B5354D" w:rsidTr="00DF1F9E">
        <w:trPr>
          <w:trHeight w:val="288"/>
        </w:trPr>
        <w:tc>
          <w:tcPr>
            <w:tcW w:w="3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D5C87" w:rsidRPr="00B5354D" w:rsidRDefault="00CD5C87" w:rsidP="0006610B">
            <w:pPr>
              <w:widowControl w:val="0"/>
            </w:pPr>
          </w:p>
        </w:tc>
        <w:tc>
          <w:tcPr>
            <w:tcW w:w="14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D5C87" w:rsidRPr="00B5354D" w:rsidRDefault="00CD5C87" w:rsidP="0006610B">
            <w:pPr>
              <w:widowControl w:val="0"/>
              <w:tabs>
                <w:tab w:val="left" w:pos="2423"/>
              </w:tabs>
              <w:rPr>
                <w:sz w:val="20"/>
                <w:szCs w:val="20"/>
              </w:rPr>
            </w:pPr>
            <w:r w:rsidRPr="00B5354D">
              <w:rPr>
                <w:sz w:val="20"/>
                <w:szCs w:val="20"/>
              </w:rPr>
              <w:t xml:space="preserve"> Revision Date</w:t>
            </w:r>
            <w:r w:rsidR="002E63C0" w:rsidRPr="00B5354D">
              <w:rPr>
                <w:sz w:val="20"/>
                <w:szCs w:val="20"/>
              </w:rPr>
              <w:t>:</w:t>
            </w:r>
          </w:p>
        </w:tc>
        <w:tc>
          <w:tcPr>
            <w:tcW w:w="36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D5C87" w:rsidRPr="00B5354D" w:rsidRDefault="008C5582" w:rsidP="0006610B">
            <w:pPr>
              <w:widowControl w:val="0"/>
              <w:tabs>
                <w:tab w:val="left" w:pos="2423"/>
              </w:tabs>
              <w:jc w:val="center"/>
              <w:rPr>
                <w:sz w:val="20"/>
                <w:szCs w:val="20"/>
              </w:rPr>
            </w:pPr>
            <w:r>
              <w:rPr>
                <w:sz w:val="20"/>
                <w:szCs w:val="20"/>
              </w:rPr>
              <w:t>4/4/2022</w:t>
            </w:r>
          </w:p>
        </w:tc>
      </w:tr>
      <w:tr w:rsidR="00CD5C87" w:rsidRPr="00B5354D" w:rsidTr="00DF1F9E">
        <w:trPr>
          <w:trHeight w:val="288"/>
        </w:trPr>
        <w:tc>
          <w:tcPr>
            <w:tcW w:w="3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D5C87" w:rsidRPr="00B5354D" w:rsidRDefault="00CD5C87" w:rsidP="0006610B">
            <w:pPr>
              <w:widowControl w:val="0"/>
            </w:pPr>
          </w:p>
        </w:tc>
        <w:tc>
          <w:tcPr>
            <w:tcW w:w="14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D5C87" w:rsidRPr="00B5354D" w:rsidRDefault="00CD5C87" w:rsidP="0006610B">
            <w:pPr>
              <w:widowControl w:val="0"/>
              <w:tabs>
                <w:tab w:val="left" w:pos="2423"/>
              </w:tabs>
              <w:rPr>
                <w:sz w:val="20"/>
                <w:szCs w:val="20"/>
              </w:rPr>
            </w:pPr>
            <w:r w:rsidRPr="00B5354D">
              <w:rPr>
                <w:sz w:val="20"/>
                <w:szCs w:val="20"/>
              </w:rPr>
              <w:t xml:space="preserve"> Revision No.</w:t>
            </w:r>
            <w:r w:rsidR="002E63C0" w:rsidRPr="00B5354D">
              <w:rPr>
                <w:sz w:val="20"/>
                <w:szCs w:val="20"/>
              </w:rPr>
              <w:t>:</w:t>
            </w:r>
          </w:p>
        </w:tc>
        <w:tc>
          <w:tcPr>
            <w:tcW w:w="36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D5C87" w:rsidRPr="00B5354D" w:rsidRDefault="008C5582" w:rsidP="0006610B">
            <w:pPr>
              <w:widowControl w:val="0"/>
              <w:jc w:val="center"/>
              <w:rPr>
                <w:sz w:val="20"/>
                <w:szCs w:val="20"/>
              </w:rPr>
            </w:pPr>
            <w:r>
              <w:rPr>
                <w:sz w:val="20"/>
                <w:szCs w:val="20"/>
              </w:rPr>
              <w:t>1</w:t>
            </w:r>
          </w:p>
        </w:tc>
      </w:tr>
      <w:tr w:rsidR="00CD5C87" w:rsidRPr="00B5354D" w:rsidTr="00DF1F9E">
        <w:trPr>
          <w:trHeight w:val="288"/>
        </w:trPr>
        <w:tc>
          <w:tcPr>
            <w:tcW w:w="3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CD5C87" w:rsidRPr="00B5354D" w:rsidRDefault="00CD5C87" w:rsidP="0006610B">
            <w:pPr>
              <w:widowControl w:val="0"/>
            </w:pPr>
          </w:p>
        </w:tc>
        <w:tc>
          <w:tcPr>
            <w:tcW w:w="14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D5C87" w:rsidRPr="00B5354D" w:rsidRDefault="00CD5C87" w:rsidP="0006610B">
            <w:pPr>
              <w:widowControl w:val="0"/>
              <w:tabs>
                <w:tab w:val="left" w:pos="2423"/>
              </w:tabs>
              <w:rPr>
                <w:sz w:val="20"/>
                <w:szCs w:val="20"/>
              </w:rPr>
            </w:pPr>
            <w:r w:rsidRPr="00B5354D">
              <w:rPr>
                <w:sz w:val="20"/>
                <w:szCs w:val="20"/>
              </w:rPr>
              <w:t xml:space="preserve"> Approval:</w:t>
            </w:r>
          </w:p>
        </w:tc>
        <w:tc>
          <w:tcPr>
            <w:tcW w:w="36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CD5C87" w:rsidRPr="00B5354D" w:rsidRDefault="00611E56" w:rsidP="0006610B">
            <w:pPr>
              <w:widowControl w:val="0"/>
              <w:spacing w:line="276" w:lineRule="auto"/>
              <w:jc w:val="center"/>
              <w:rPr>
                <w:sz w:val="20"/>
                <w:szCs w:val="20"/>
              </w:rPr>
            </w:pPr>
            <w:r>
              <w:rPr>
                <w:sz w:val="20"/>
                <w:szCs w:val="20"/>
              </w:rPr>
              <w:t>HSC Approved</w:t>
            </w:r>
            <w:r w:rsidR="00085BEC" w:rsidRPr="00671551">
              <w:rPr>
                <w:color w:val="auto"/>
                <w:sz w:val="20"/>
                <w:szCs w:val="20"/>
              </w:rPr>
              <w:t>:</w:t>
            </w:r>
            <w:r w:rsidR="00423C30" w:rsidRPr="00671551">
              <w:rPr>
                <w:color w:val="auto"/>
                <w:sz w:val="20"/>
                <w:szCs w:val="20"/>
              </w:rPr>
              <w:t xml:space="preserve"> December 10, </w:t>
            </w:r>
            <w:r w:rsidR="00423C30">
              <w:rPr>
                <w:sz w:val="20"/>
                <w:szCs w:val="20"/>
              </w:rPr>
              <w:t>2021</w:t>
            </w:r>
          </w:p>
        </w:tc>
      </w:tr>
    </w:tbl>
    <w:p w:rsidR="00CD5C87" w:rsidRPr="00B5354D" w:rsidRDefault="00CD5C87" w:rsidP="0006610B">
      <w:pPr>
        <w:widowControl w:val="0"/>
        <w:jc w:val="center"/>
      </w:pPr>
    </w:p>
    <w:p w:rsidR="00D6549D" w:rsidRPr="00265E5E" w:rsidRDefault="00265E5E" w:rsidP="00B35E98">
      <w:pPr>
        <w:pStyle w:val="ListParagraph"/>
        <w:widowControl w:val="0"/>
        <w:numPr>
          <w:ilvl w:val="0"/>
          <w:numId w:val="1"/>
        </w:numPr>
        <w:spacing w:after="160"/>
        <w:rPr>
          <w:sz w:val="28"/>
        </w:rPr>
      </w:pPr>
      <w:r w:rsidRPr="00265E5E">
        <w:rPr>
          <w:b/>
          <w:bCs/>
          <w:sz w:val="28"/>
        </w:rPr>
        <w:t>Purpose</w:t>
      </w:r>
    </w:p>
    <w:p w:rsidR="004630C9" w:rsidRPr="00B5354D" w:rsidRDefault="004630C9" w:rsidP="0006610B">
      <w:pPr>
        <w:widowControl w:val="0"/>
        <w:spacing w:before="120"/>
      </w:pPr>
      <w:r w:rsidRPr="00B5354D">
        <w:t>This</w:t>
      </w:r>
      <w:r w:rsidR="00085BEC">
        <w:t xml:space="preserve"> policy sets forth the expectations of the Human Subjects Committee</w:t>
      </w:r>
      <w:r w:rsidR="00A000FE">
        <w:t xml:space="preserve"> (HSC)</w:t>
      </w:r>
      <w:r w:rsidR="00085BEC">
        <w:t xml:space="preserve"> regarding the compensation</w:t>
      </w:r>
      <w:r w:rsidR="00BE13D5">
        <w:t xml:space="preserve"> of</w:t>
      </w:r>
      <w:r w:rsidR="002E63C0" w:rsidRPr="00B5354D">
        <w:t xml:space="preserve"> </w:t>
      </w:r>
      <w:r w:rsidR="00BE13D5">
        <w:t xml:space="preserve">human subjects </w:t>
      </w:r>
      <w:r w:rsidR="00085BEC">
        <w:t xml:space="preserve">participating in </w:t>
      </w:r>
      <w:r w:rsidR="002E63C0" w:rsidRPr="00B5354D">
        <w:t>research at Lawren</w:t>
      </w:r>
      <w:r w:rsidR="00BE7C30" w:rsidRPr="00B5354D">
        <w:t>ce Berkeley National Laboratory</w:t>
      </w:r>
      <w:r w:rsidR="00B666C0">
        <w:t xml:space="preserve"> (Berkeley Lab)</w:t>
      </w:r>
      <w:r w:rsidR="00BE13D5">
        <w:t>.</w:t>
      </w:r>
    </w:p>
    <w:p w:rsidR="00CD5C87" w:rsidRPr="00B5354D" w:rsidRDefault="00CD5C87" w:rsidP="0006610B">
      <w:pPr>
        <w:widowControl w:val="0"/>
      </w:pPr>
    </w:p>
    <w:p w:rsidR="00A43020" w:rsidRPr="00265E5E" w:rsidRDefault="00265E5E" w:rsidP="00B35E98">
      <w:pPr>
        <w:widowControl w:val="0"/>
        <w:numPr>
          <w:ilvl w:val="0"/>
          <w:numId w:val="1"/>
        </w:numPr>
        <w:spacing w:after="160"/>
        <w:rPr>
          <w:b/>
          <w:bCs/>
          <w:sz w:val="28"/>
        </w:rPr>
      </w:pPr>
      <w:r w:rsidRPr="00265E5E">
        <w:rPr>
          <w:b/>
          <w:bCs/>
          <w:sz w:val="28"/>
        </w:rPr>
        <w:t>Persons Affected</w:t>
      </w:r>
    </w:p>
    <w:p w:rsidR="00A43020" w:rsidRDefault="00085BEC" w:rsidP="00423C30">
      <w:pPr>
        <w:widowControl w:val="0"/>
        <w:numPr>
          <w:ilvl w:val="1"/>
          <w:numId w:val="8"/>
        </w:numPr>
        <w:spacing w:before="120"/>
        <w:ind w:left="720" w:hanging="360"/>
      </w:pPr>
      <w:r>
        <w:t>Principal Investigators, study coordinators, and anyone else involved in the experimental design of research proposals involving human subjects.</w:t>
      </w:r>
      <w:r w:rsidR="00A43020">
        <w:t xml:space="preserve"> </w:t>
      </w:r>
    </w:p>
    <w:p w:rsidR="001A4764" w:rsidRDefault="001A4764" w:rsidP="00423C30">
      <w:pPr>
        <w:widowControl w:val="0"/>
        <w:numPr>
          <w:ilvl w:val="1"/>
          <w:numId w:val="8"/>
        </w:numPr>
        <w:spacing w:before="120"/>
        <w:ind w:left="720" w:hanging="360"/>
      </w:pPr>
      <w:r>
        <w:t xml:space="preserve">HSC members performing review of human </w:t>
      </w:r>
      <w:proofErr w:type="gramStart"/>
      <w:r>
        <w:t>subjects</w:t>
      </w:r>
      <w:proofErr w:type="gramEnd"/>
      <w:r>
        <w:t xml:space="preserve"> protocols that include compensation.</w:t>
      </w:r>
    </w:p>
    <w:p w:rsidR="00085BEC" w:rsidRPr="00B5354D" w:rsidRDefault="00085BEC" w:rsidP="00B35E98">
      <w:pPr>
        <w:widowControl w:val="0"/>
        <w:ind w:left="792"/>
      </w:pPr>
    </w:p>
    <w:p w:rsidR="00CD5C87" w:rsidRPr="00265E5E" w:rsidRDefault="00265E5E" w:rsidP="00B35E98">
      <w:pPr>
        <w:widowControl w:val="0"/>
        <w:numPr>
          <w:ilvl w:val="0"/>
          <w:numId w:val="1"/>
        </w:numPr>
        <w:spacing w:after="160"/>
        <w:rPr>
          <w:b/>
          <w:bCs/>
          <w:sz w:val="28"/>
        </w:rPr>
      </w:pPr>
      <w:r w:rsidRPr="00265E5E">
        <w:rPr>
          <w:b/>
          <w:bCs/>
          <w:sz w:val="28"/>
        </w:rPr>
        <w:t>Exceptions</w:t>
      </w:r>
    </w:p>
    <w:p w:rsidR="00BC42D7" w:rsidRDefault="00CD1A7B" w:rsidP="00B35E98">
      <w:pPr>
        <w:keepNext/>
        <w:widowControl w:val="0"/>
        <w:spacing w:before="120"/>
      </w:pPr>
      <w:r>
        <w:t xml:space="preserve">Human subjects participating in Berkeley Lab research may be </w:t>
      </w:r>
      <w:r w:rsidR="00A000FE">
        <w:t xml:space="preserve">appropriately </w:t>
      </w:r>
      <w:r>
        <w:t xml:space="preserve">compensated unless they </w:t>
      </w:r>
      <w:r w:rsidR="000D6392">
        <w:t>fall into</w:t>
      </w:r>
      <w:r w:rsidR="00BC42D7">
        <w:t xml:space="preserve"> one of the following exclusion categories:</w:t>
      </w:r>
    </w:p>
    <w:p w:rsidR="0006610B" w:rsidRDefault="00BC42D7" w:rsidP="00B35E98">
      <w:pPr>
        <w:pStyle w:val="ListParagraph"/>
        <w:keepNext/>
        <w:widowControl w:val="0"/>
        <w:numPr>
          <w:ilvl w:val="1"/>
          <w:numId w:val="17"/>
        </w:numPr>
        <w:spacing w:before="120"/>
        <w:ind w:left="720"/>
      </w:pPr>
      <w:r>
        <w:t>E</w:t>
      </w:r>
      <w:r w:rsidR="00CD1A7B">
        <w:t>mployees of Berkeley Lab</w:t>
      </w:r>
      <w:r w:rsidR="00CE236B">
        <w:t xml:space="preserve"> are prohibited from receiving incentive payments.</w:t>
      </w:r>
    </w:p>
    <w:p w:rsidR="00BC42D7" w:rsidRDefault="00E66697" w:rsidP="00B35E98">
      <w:pPr>
        <w:pStyle w:val="ListParagraph"/>
        <w:keepNext/>
        <w:widowControl w:val="0"/>
        <w:numPr>
          <w:ilvl w:val="1"/>
          <w:numId w:val="17"/>
        </w:numPr>
        <w:spacing w:before="120"/>
        <w:ind w:left="720"/>
      </w:pPr>
      <w:r>
        <w:t xml:space="preserve">Other possible groups </w:t>
      </w:r>
      <w:r w:rsidR="00A000FE" w:rsidRPr="00A000FE">
        <w:rPr>
          <w:b/>
          <w:i/>
        </w:rPr>
        <w:t>may</w:t>
      </w:r>
      <w:r>
        <w:t xml:space="preserve"> include employees of the funding source, other institutions performing the research, vulnerable populations, or other groups established on a case-by-case basis.</w:t>
      </w:r>
    </w:p>
    <w:p w:rsidR="009457DF" w:rsidRPr="0006610B" w:rsidRDefault="009457DF" w:rsidP="009457DF">
      <w:pPr>
        <w:keepNext/>
        <w:widowControl w:val="0"/>
      </w:pPr>
    </w:p>
    <w:p w:rsidR="00CD5C87" w:rsidRPr="0006610B" w:rsidRDefault="00265E5E" w:rsidP="00B35E98">
      <w:pPr>
        <w:pStyle w:val="ListParagraph"/>
        <w:keepNext/>
        <w:widowControl w:val="0"/>
        <w:numPr>
          <w:ilvl w:val="0"/>
          <w:numId w:val="1"/>
        </w:numPr>
        <w:spacing w:after="160"/>
        <w:rPr>
          <w:b/>
          <w:bCs/>
        </w:rPr>
      </w:pPr>
      <w:r w:rsidRPr="00265E5E">
        <w:rPr>
          <w:b/>
          <w:bCs/>
          <w:sz w:val="28"/>
        </w:rPr>
        <w:t>Policy Statement</w:t>
      </w:r>
    </w:p>
    <w:p w:rsidR="00085BEC" w:rsidRDefault="00085BEC" w:rsidP="009457DF">
      <w:pPr>
        <w:keepNext/>
        <w:widowControl w:val="0"/>
        <w:spacing w:before="120"/>
      </w:pPr>
      <w:r>
        <w:t>The Human Subjects Committee’s review of proposed research includes an assessment of the amount of compensation</w:t>
      </w:r>
      <w:r w:rsidR="00A000FE">
        <w:t>/financial incentive</w:t>
      </w:r>
      <w:r>
        <w:t xml:space="preserve"> proposed for participants in the study. Federal regulations do not give specific guidance regarding </w:t>
      </w:r>
      <w:r w:rsidR="00A000FE">
        <w:t>compensation;</w:t>
      </w:r>
      <w:r>
        <w:t xml:space="preserve"> </w:t>
      </w:r>
      <w:r w:rsidR="00A000FE">
        <w:t>however,</w:t>
      </w:r>
      <w:r>
        <w:t xml:space="preserve"> the</w:t>
      </w:r>
      <w:r w:rsidR="00A000FE">
        <w:t>y</w:t>
      </w:r>
      <w:r>
        <w:t xml:space="preserve"> do require that the investigator “minimize the possibility of coercion or undue influence.”</w:t>
      </w:r>
      <w:r w:rsidR="00F1665C">
        <w:t xml:space="preserve"> [45 CFR 46.116, 21 CFR 50.20</w:t>
      </w:r>
      <w:r w:rsidR="003A0DDD">
        <w:t>, 10 CFR 745.116</w:t>
      </w:r>
      <w:r w:rsidR="00F1665C">
        <w:t>]</w:t>
      </w:r>
      <w:r>
        <w:t xml:space="preserve"> Compensation of research subjects is considered appropriate in many instances to account for the time and inconvenience of participation, however the amount must be reasonable and not considered to be exerting undue influence on the person’s choice to participate. </w:t>
      </w:r>
    </w:p>
    <w:p w:rsidR="00CD5C87" w:rsidRDefault="00CD5C87" w:rsidP="009457DF">
      <w:pPr>
        <w:widowControl w:val="0"/>
      </w:pPr>
    </w:p>
    <w:p w:rsidR="00F1665C" w:rsidRPr="00B3410C" w:rsidRDefault="00F1665C" w:rsidP="00F1665C">
      <w:pPr>
        <w:pStyle w:val="ListParagraph"/>
        <w:widowControl w:val="0"/>
        <w:numPr>
          <w:ilvl w:val="0"/>
          <w:numId w:val="10"/>
        </w:numPr>
        <w:rPr>
          <w:b/>
          <w:u w:val="single"/>
        </w:rPr>
      </w:pPr>
      <w:r w:rsidRPr="00B3410C">
        <w:rPr>
          <w:b/>
          <w:u w:val="single"/>
        </w:rPr>
        <w:t>HSC Review</w:t>
      </w:r>
    </w:p>
    <w:p w:rsidR="00F1665C" w:rsidRDefault="00F1665C" w:rsidP="00B3410C">
      <w:pPr>
        <w:widowControl w:val="0"/>
        <w:spacing w:before="120"/>
        <w:ind w:left="720"/>
      </w:pPr>
      <w:r>
        <w:t xml:space="preserve">The HSC reviews the amount of payment, </w:t>
      </w:r>
      <w:r w:rsidR="00607F81">
        <w:t xml:space="preserve">as well as </w:t>
      </w:r>
      <w:r>
        <w:t xml:space="preserve">the proposed method and timing of disbursement of payments to </w:t>
      </w:r>
      <w:r w:rsidR="00607F81">
        <w:t>en</w:t>
      </w:r>
      <w:r>
        <w:t>sure that there is no undue influence</w:t>
      </w:r>
      <w:r w:rsidR="00E66697">
        <w:t xml:space="preserve"> being exerted</w:t>
      </w:r>
      <w:r>
        <w:t>.</w:t>
      </w:r>
      <w:r w:rsidR="00607F81">
        <w:t xml:space="preserve"> Compensation can include monetary payments (cash, gift cards, etc.) or non-monetary </w:t>
      </w:r>
      <w:r w:rsidR="00607F81">
        <w:lastRenderedPageBreak/>
        <w:t xml:space="preserve">rewards (gifts, course credit, etc.). All details regarding compensation must be described in detail in the study protocol, as well as in the informed consent. </w:t>
      </w:r>
      <w:r w:rsidR="00607F81">
        <w:rPr>
          <w:i/>
        </w:rPr>
        <w:t xml:space="preserve">Compensation is not considered a benefit to subject participation and is not </w:t>
      </w:r>
      <w:proofErr w:type="gramStart"/>
      <w:r w:rsidR="00607F81">
        <w:rPr>
          <w:i/>
        </w:rPr>
        <w:t>taken into account</w:t>
      </w:r>
      <w:proofErr w:type="gramEnd"/>
      <w:r w:rsidR="00607F81">
        <w:rPr>
          <w:i/>
        </w:rPr>
        <w:t xml:space="preserve"> when the HSC weighs the risks and benefits of the research.</w:t>
      </w:r>
    </w:p>
    <w:p w:rsidR="00607F81" w:rsidRDefault="00607F81" w:rsidP="00F1665C">
      <w:pPr>
        <w:widowControl w:val="0"/>
        <w:ind w:left="720"/>
      </w:pPr>
    </w:p>
    <w:p w:rsidR="00F1665C" w:rsidRPr="00B3410C" w:rsidRDefault="00F1665C" w:rsidP="00423C30">
      <w:pPr>
        <w:pStyle w:val="ListParagraph"/>
        <w:widowControl w:val="0"/>
        <w:numPr>
          <w:ilvl w:val="0"/>
          <w:numId w:val="10"/>
        </w:numPr>
        <w:spacing w:before="40"/>
        <w:rPr>
          <w:b/>
          <w:u w:val="single"/>
        </w:rPr>
      </w:pPr>
      <w:r w:rsidRPr="00B3410C">
        <w:rPr>
          <w:b/>
          <w:u w:val="single"/>
        </w:rPr>
        <w:t>Allowability</w:t>
      </w:r>
    </w:p>
    <w:p w:rsidR="00F1665C" w:rsidRDefault="00F1665C" w:rsidP="00B3410C">
      <w:pPr>
        <w:widowControl w:val="0"/>
        <w:spacing w:before="120"/>
        <w:ind w:left="720"/>
      </w:pPr>
      <w:r>
        <w:t>In some cases, those in authority such as DOE program managers, will question the use of federal money to compensate subjects. Here are some notes from the Financial Office on the allowability of compensation to subjects:</w:t>
      </w:r>
    </w:p>
    <w:p w:rsidR="00F1665C" w:rsidRDefault="00F1665C" w:rsidP="00B35E98">
      <w:pPr>
        <w:pStyle w:val="ListParagraph"/>
        <w:widowControl w:val="0"/>
        <w:numPr>
          <w:ilvl w:val="2"/>
          <w:numId w:val="11"/>
        </w:numPr>
        <w:spacing w:before="120"/>
        <w:ind w:left="1350"/>
      </w:pPr>
      <w:r>
        <w:t>FAR subpart 31.2 does not exclude them;</w:t>
      </w:r>
    </w:p>
    <w:p w:rsidR="00F1665C" w:rsidRDefault="00F1665C" w:rsidP="00B35E98">
      <w:pPr>
        <w:pStyle w:val="ListParagraph"/>
        <w:widowControl w:val="0"/>
        <w:numPr>
          <w:ilvl w:val="2"/>
          <w:numId w:val="11"/>
        </w:numPr>
        <w:tabs>
          <w:tab w:val="left" w:pos="1800"/>
        </w:tabs>
        <w:spacing w:before="120"/>
        <w:ind w:left="1350"/>
      </w:pPr>
      <w:r>
        <w:t>As long as the incentive cost follows the rules for allowability it is acceptable:</w:t>
      </w:r>
    </w:p>
    <w:p w:rsidR="00F1665C" w:rsidRDefault="00F1665C" w:rsidP="00B35E98">
      <w:pPr>
        <w:pStyle w:val="ListParagraph"/>
        <w:widowControl w:val="0"/>
        <w:numPr>
          <w:ilvl w:val="3"/>
          <w:numId w:val="12"/>
        </w:numPr>
        <w:spacing w:before="120"/>
        <w:ind w:left="1800"/>
      </w:pPr>
      <w:r>
        <w:t xml:space="preserve">Reasonableness, </w:t>
      </w:r>
    </w:p>
    <w:p w:rsidR="00F1665C" w:rsidRDefault="00F1665C" w:rsidP="00B35E98">
      <w:pPr>
        <w:pStyle w:val="ListParagraph"/>
        <w:widowControl w:val="0"/>
        <w:numPr>
          <w:ilvl w:val="3"/>
          <w:numId w:val="12"/>
        </w:numPr>
        <w:spacing w:before="120"/>
        <w:ind w:left="1800"/>
      </w:pPr>
      <w:r>
        <w:t>Allocability,</w:t>
      </w:r>
    </w:p>
    <w:p w:rsidR="00F1665C" w:rsidRDefault="00F1665C" w:rsidP="00B35E98">
      <w:pPr>
        <w:pStyle w:val="ListParagraph"/>
        <w:widowControl w:val="0"/>
        <w:numPr>
          <w:ilvl w:val="3"/>
          <w:numId w:val="12"/>
        </w:numPr>
        <w:spacing w:before="120"/>
        <w:ind w:left="1800"/>
      </w:pPr>
      <w:r>
        <w:t>Applicable Cost Accounting Standards (CAS); otherwise, generally accepted accounting principles (GAAP) and practices appropriate to the circumstances,</w:t>
      </w:r>
    </w:p>
    <w:p w:rsidR="00F1665C" w:rsidRDefault="00F1665C" w:rsidP="00B35E98">
      <w:pPr>
        <w:pStyle w:val="ListParagraph"/>
        <w:widowControl w:val="0"/>
        <w:numPr>
          <w:ilvl w:val="3"/>
          <w:numId w:val="12"/>
        </w:numPr>
        <w:spacing w:before="120"/>
        <w:ind w:left="1800"/>
      </w:pPr>
      <w:r>
        <w:t>The terms and conditions of Contract 31,</w:t>
      </w:r>
    </w:p>
    <w:p w:rsidR="00F1665C" w:rsidRDefault="00F1665C" w:rsidP="00B35E98">
      <w:pPr>
        <w:pStyle w:val="ListParagraph"/>
        <w:widowControl w:val="0"/>
        <w:numPr>
          <w:ilvl w:val="3"/>
          <w:numId w:val="12"/>
        </w:numPr>
        <w:spacing w:before="120"/>
        <w:ind w:left="1800"/>
      </w:pPr>
      <w:r>
        <w:t>Any rules or limitations described in FAR subpart 31.201-2 as supplemented by DEAR subpart 970.31 and/or specific clauses in Contract 31.</w:t>
      </w:r>
    </w:p>
    <w:p w:rsidR="008C5582" w:rsidRDefault="008C5582" w:rsidP="008C5582">
      <w:pPr>
        <w:pStyle w:val="ListParagraph"/>
        <w:widowControl w:val="0"/>
        <w:numPr>
          <w:ilvl w:val="0"/>
          <w:numId w:val="12"/>
        </w:numPr>
        <w:spacing w:before="120"/>
      </w:pPr>
      <w:r>
        <w:t xml:space="preserve">Funding source specific rules will always be applicable, for example NSF has specific restrictions on incentives (See </w:t>
      </w:r>
      <w:hyperlink r:id="rId7" w:history="1">
        <w:r w:rsidRPr="008C5582">
          <w:rPr>
            <w:rStyle w:val="Hyperlink"/>
          </w:rPr>
          <w:t>Fact Sheet</w:t>
        </w:r>
      </w:hyperlink>
      <w:r>
        <w:t>)</w:t>
      </w:r>
    </w:p>
    <w:p w:rsidR="00F1665C" w:rsidRDefault="00F1665C" w:rsidP="009457DF">
      <w:pPr>
        <w:widowControl w:val="0"/>
      </w:pPr>
    </w:p>
    <w:p w:rsidR="00F1665C" w:rsidRPr="00B3410C" w:rsidRDefault="00607F81" w:rsidP="00423C30">
      <w:pPr>
        <w:pStyle w:val="ListParagraph"/>
        <w:widowControl w:val="0"/>
        <w:numPr>
          <w:ilvl w:val="0"/>
          <w:numId w:val="10"/>
        </w:numPr>
        <w:spacing w:before="40"/>
        <w:rPr>
          <w:b/>
          <w:u w:val="single"/>
        </w:rPr>
      </w:pPr>
      <w:r w:rsidRPr="00B3410C">
        <w:rPr>
          <w:b/>
          <w:u w:val="single"/>
        </w:rPr>
        <w:t>Amounts</w:t>
      </w:r>
    </w:p>
    <w:p w:rsidR="00607F81" w:rsidRDefault="00FF0B64" w:rsidP="00B3410C">
      <w:pPr>
        <w:widowControl w:val="0"/>
        <w:spacing w:before="120"/>
        <w:ind w:left="720"/>
      </w:pPr>
      <w:r>
        <w:t>Generally, t</w:t>
      </w:r>
      <w:r w:rsidR="00607F81">
        <w:t>here are no hard limits to the amount</w:t>
      </w:r>
      <w:r>
        <w:t xml:space="preserve"> (See Federal Employees section 6 below for an exception)</w:t>
      </w:r>
      <w:r w:rsidR="00607F81">
        <w:t xml:space="preserve">, but participation must remain voluntary, based on the real risks and benefits of the research, and therefore compensation must not be so high as to </w:t>
      </w:r>
      <w:r w:rsidR="00CD1A7B">
        <w:t>coerce</w:t>
      </w:r>
      <w:r w:rsidR="00607F81">
        <w:t xml:space="preserve"> participation</w:t>
      </w:r>
      <w:r w:rsidR="00CD1A7B">
        <w:t>, nor to compel the individual to lie in order to meet inclusion criteria</w:t>
      </w:r>
      <w:r w:rsidR="00607F81">
        <w:t xml:space="preserve">. Subjects should not see research participation as a way to make a living or regularly supplement their income. </w:t>
      </w:r>
      <w:r w:rsidR="00CD1A7B">
        <w:t xml:space="preserve">All compensation amounts should therefore be commensurate to the amount of time and effort participants commit to complete the study. </w:t>
      </w:r>
    </w:p>
    <w:p w:rsidR="00607F81" w:rsidRDefault="00607F81" w:rsidP="00607F81">
      <w:pPr>
        <w:widowControl w:val="0"/>
        <w:ind w:left="720"/>
      </w:pPr>
    </w:p>
    <w:p w:rsidR="00FF0B64" w:rsidRDefault="00CD1A7B" w:rsidP="00FF0B64">
      <w:pPr>
        <w:ind w:left="720"/>
      </w:pPr>
      <w:r>
        <w:t>If the total compensation for the year exceeds $</w:t>
      </w:r>
      <w:r w:rsidR="00A000FE">
        <w:t>6</w:t>
      </w:r>
      <w:r>
        <w:t xml:space="preserve">00 you must report the name and contact information of the subject to the </w:t>
      </w:r>
      <w:proofErr w:type="gramStart"/>
      <w:r>
        <w:t>accounts</w:t>
      </w:r>
      <w:proofErr w:type="gramEnd"/>
      <w:r>
        <w:t xml:space="preserve"> payable office (</w:t>
      </w:r>
      <w:hyperlink r:id="rId8" w:history="1">
        <w:r>
          <w:rPr>
            <w:rStyle w:val="Hyperlink"/>
          </w:rPr>
          <w:t>Aphelp@lbl.gov</w:t>
        </w:r>
      </w:hyperlink>
      <w:r>
        <w:t xml:space="preserve">) so that the subject can be sent an FW9 form for IRS purposes. This can be difficult because it removes the ability of the research to remain anonymous and makes protection of privacy much harder. For this reason, it is </w:t>
      </w:r>
      <w:r w:rsidRPr="003A0DDD">
        <w:rPr>
          <w:i/>
          <w:u w:val="single"/>
        </w:rPr>
        <w:t>highly recommended</w:t>
      </w:r>
      <w:r>
        <w:t xml:space="preserve"> that, when possible, the total amount within one calendar year paid to a single subject be kept below $500 to avoid coming close to that mark. There are cases in which subjects (this is particularly true of students) participate in more than one study a year and cumulative compensation may approach that $600 mark, or be over it. Thus, this question should be added to any screening/consent form where compensation is being added: “Have you participated in </w:t>
      </w:r>
      <w:r>
        <w:lastRenderedPageBreak/>
        <w:t xml:space="preserve">another Berkeley Lab/LBNL study within </w:t>
      </w:r>
      <w:r w:rsidR="00671551">
        <w:t>this same</w:t>
      </w:r>
      <w:r>
        <w:t xml:space="preserve"> calendar year? [yes/no] If so, how much </w:t>
      </w:r>
      <w:r w:rsidR="00671551">
        <w:t>have you been</w:t>
      </w:r>
      <w:r>
        <w:t xml:space="preserve"> compensated?”</w:t>
      </w:r>
    </w:p>
    <w:p w:rsidR="00607F81" w:rsidRDefault="00607F81" w:rsidP="00607F81">
      <w:pPr>
        <w:widowControl w:val="0"/>
        <w:ind w:left="720"/>
      </w:pPr>
    </w:p>
    <w:p w:rsidR="00CD1A7B" w:rsidRPr="00B3410C" w:rsidRDefault="00CD1A7B" w:rsidP="00423C30">
      <w:pPr>
        <w:pStyle w:val="ListParagraph"/>
        <w:widowControl w:val="0"/>
        <w:numPr>
          <w:ilvl w:val="0"/>
          <w:numId w:val="10"/>
        </w:numPr>
        <w:spacing w:before="40"/>
        <w:rPr>
          <w:b/>
        </w:rPr>
      </w:pPr>
      <w:r w:rsidRPr="00B3410C">
        <w:rPr>
          <w:b/>
          <w:u w:val="single"/>
        </w:rPr>
        <w:t>Timing and Method of Disbursement</w:t>
      </w:r>
    </w:p>
    <w:p w:rsidR="00CD1A7B" w:rsidRDefault="00CD1A7B" w:rsidP="00423C30">
      <w:pPr>
        <w:widowControl w:val="0"/>
        <w:spacing w:before="120"/>
        <w:ind w:left="720"/>
      </w:pPr>
      <w:r>
        <w:t xml:space="preserve">In addition, it is recommended for studies that include multiple timepoints of participation, that compensation be prorated over the course of participation instead of given as one lump sum upon completion. This is to avoid compromising the perceived ability of the subject to withdraw </w:t>
      </w:r>
      <w:r w:rsidR="00BC42D7">
        <w:t xml:space="preserve">from the research at any time. While total compensation should not be contingent upon completion of the entire study, it is acceptable to offer a </w:t>
      </w:r>
      <w:r w:rsidR="00BC42D7" w:rsidRPr="00BC42D7">
        <w:rPr>
          <w:u w:val="single"/>
        </w:rPr>
        <w:t>small</w:t>
      </w:r>
      <w:r w:rsidR="00BC42D7">
        <w:t xml:space="preserve"> bonus to subjects who complete all scheduled study sessions.</w:t>
      </w:r>
    </w:p>
    <w:p w:rsidR="00BC42D7" w:rsidRDefault="00BC42D7" w:rsidP="00CD1A7B">
      <w:pPr>
        <w:widowControl w:val="0"/>
        <w:ind w:left="720"/>
      </w:pPr>
    </w:p>
    <w:p w:rsidR="00BC42D7" w:rsidRDefault="00BC42D7" w:rsidP="00CD1A7B">
      <w:pPr>
        <w:widowControl w:val="0"/>
        <w:ind w:left="720"/>
      </w:pPr>
      <w:r>
        <w:t>Forms of payment may vary and include alternatives such as gift cards or prepaid online codes, however it is required that the method of payment be readily accessible to the participants and appropriate to the population.</w:t>
      </w:r>
    </w:p>
    <w:p w:rsidR="00BC42D7" w:rsidRDefault="00BC42D7" w:rsidP="00CD1A7B">
      <w:pPr>
        <w:widowControl w:val="0"/>
        <w:ind w:left="720"/>
      </w:pPr>
    </w:p>
    <w:p w:rsidR="00BC42D7" w:rsidRDefault="00BC42D7" w:rsidP="00CD1A7B">
      <w:pPr>
        <w:widowControl w:val="0"/>
        <w:ind w:left="720"/>
      </w:pPr>
      <w:r>
        <w:t xml:space="preserve">Distribution of compensation should be performed </w:t>
      </w:r>
      <w:r w:rsidR="005C3D65">
        <w:t xml:space="preserve">directly by a person or entity performing the research. This can be completed in-person, via email, or mail, but cannot be done through a third-party. For example, a building management company cannot distribute payments to residents who participated if they are not contracted as performing the research. </w:t>
      </w:r>
      <w:r w:rsidR="00D963EC">
        <w:t>More details regarding distribution of research incentives can be found in Procurement’s Customer Guide on the subject</w:t>
      </w:r>
      <w:r w:rsidR="000D6392">
        <w:t xml:space="preserve"> [</w:t>
      </w:r>
      <w:r w:rsidR="00604C50" w:rsidRPr="00604C50">
        <w:rPr>
          <w:i/>
        </w:rPr>
        <w:t>See implementing documents below</w:t>
      </w:r>
      <w:r w:rsidR="000D6392">
        <w:t>]</w:t>
      </w:r>
      <w:r w:rsidR="00D963EC">
        <w:t>.</w:t>
      </w:r>
      <w:r w:rsidR="00A000FE">
        <w:t xml:space="preserve"> All </w:t>
      </w:r>
      <w:r w:rsidR="00F1454A">
        <w:t xml:space="preserve">processes </w:t>
      </w:r>
      <w:r w:rsidR="00A000FE">
        <w:t xml:space="preserve">regarding research incentives in the protocol </w:t>
      </w:r>
      <w:r w:rsidR="00423C30">
        <w:t xml:space="preserve">are </w:t>
      </w:r>
      <w:r w:rsidR="00A000FE">
        <w:t xml:space="preserve">required to match subcontracts when the </w:t>
      </w:r>
      <w:r w:rsidR="00604C50">
        <w:t>sub</w:t>
      </w:r>
      <w:r w:rsidR="00A000FE">
        <w:t>contractor is performing distribution.</w:t>
      </w:r>
    </w:p>
    <w:p w:rsidR="00CD1A7B" w:rsidRDefault="00CD1A7B" w:rsidP="00CD1A7B">
      <w:pPr>
        <w:widowControl w:val="0"/>
        <w:ind w:left="720"/>
      </w:pPr>
    </w:p>
    <w:p w:rsidR="00CD1A7B" w:rsidRPr="00B3410C" w:rsidRDefault="00CD1A7B" w:rsidP="00CD1A7B">
      <w:pPr>
        <w:pStyle w:val="ListParagraph"/>
        <w:widowControl w:val="0"/>
        <w:numPr>
          <w:ilvl w:val="0"/>
          <w:numId w:val="10"/>
        </w:numPr>
        <w:rPr>
          <w:b/>
          <w:u w:val="single"/>
        </w:rPr>
      </w:pPr>
      <w:r w:rsidRPr="00B3410C">
        <w:rPr>
          <w:b/>
          <w:u w:val="single"/>
        </w:rPr>
        <w:t>Lotteries and Raffles</w:t>
      </w:r>
    </w:p>
    <w:p w:rsidR="00E66697" w:rsidRDefault="00BC42D7" w:rsidP="00423C30">
      <w:pPr>
        <w:widowControl w:val="0"/>
        <w:spacing w:before="120"/>
        <w:ind w:left="720"/>
      </w:pPr>
      <w:r w:rsidRPr="00BC42D7">
        <w:t xml:space="preserve">There are various </w:t>
      </w:r>
      <w:r>
        <w:t>federal guidelines as well as state regulations that are applicable to lotteries</w:t>
      </w:r>
      <w:r w:rsidR="000D6392">
        <w:t xml:space="preserve"> and raffles. Be aware that research conducted with Berkeley Lab funds in other states must follow that state’s laws in addition to those of California.  </w:t>
      </w:r>
    </w:p>
    <w:p w:rsidR="00E66697" w:rsidRDefault="00E66697" w:rsidP="000D6392">
      <w:pPr>
        <w:widowControl w:val="0"/>
        <w:ind w:left="720"/>
      </w:pPr>
    </w:p>
    <w:p w:rsidR="00E66697" w:rsidRDefault="000D6392" w:rsidP="000D6392">
      <w:pPr>
        <w:widowControl w:val="0"/>
        <w:ind w:left="720"/>
      </w:pPr>
      <w:r>
        <w:t xml:space="preserve">California law (Penal Code §319) prohibits conducting lotteries. (Any person who prepares or operates a lottery, furnishes lottery tickets, or assists in conducting a lottery is guilty of a misdemeanor.)  A “lottery” is defined as including three elements: (1) distribution of property/prize(s); (2) distribution of the property/prize(s) by chance; and (3) distribution of the property/prize(s) “among persons who have paid or promised to pay any valuable consideration for the chance of obtaining such property” (e.g., conditioning eligibility on purchase of an entry ticket or product).  There is some question as to whether agreeing to participate in a research study constitutes “payment of valuable consideration.” </w:t>
      </w:r>
      <w:r w:rsidR="00E66697">
        <w:t xml:space="preserve">Consider this excerpt from the California Department of Consumer Affairs, </w:t>
      </w:r>
      <w:r w:rsidR="00E66697" w:rsidRPr="00E66697">
        <w:t xml:space="preserve">“Courts have used certain rules to decide whether a scheme includes consideration because it is not always clear. If a person is eligible to win a prize without purchase, there is no consideration and the contest is legal. In such a case, if some people may pay money - for example, an admission charge or a product - there is not necessarily consideration if other people may enter without such a purchase. If eligibility to win a </w:t>
      </w:r>
      <w:r w:rsidR="00E66697" w:rsidRPr="00E66697">
        <w:lastRenderedPageBreak/>
        <w:t>prize is limited to those who have paid money, however, there is consideration. Alternatively, if some persons must pay in order to have a chance at a prize while others do not, there is consideration.”</w:t>
      </w:r>
    </w:p>
    <w:p w:rsidR="00E66697" w:rsidRDefault="00E66697" w:rsidP="000D6392">
      <w:pPr>
        <w:widowControl w:val="0"/>
        <w:ind w:left="720"/>
      </w:pPr>
    </w:p>
    <w:p w:rsidR="00BC42D7" w:rsidRDefault="00E66697" w:rsidP="000D6392">
      <w:pPr>
        <w:widowControl w:val="0"/>
        <w:ind w:left="720"/>
      </w:pPr>
      <w:r>
        <w:t>I</w:t>
      </w:r>
      <w:r w:rsidR="000D6392">
        <w:t>n consideration of this statute, UC Office of General Counsel has provided the guidance outlined below.</w:t>
      </w:r>
    </w:p>
    <w:p w:rsidR="000D6392" w:rsidRDefault="000D6392" w:rsidP="00B35E98">
      <w:pPr>
        <w:pStyle w:val="ListParagraph"/>
        <w:widowControl w:val="0"/>
        <w:numPr>
          <w:ilvl w:val="0"/>
          <w:numId w:val="16"/>
        </w:numPr>
        <w:spacing w:before="120"/>
        <w:ind w:left="1530"/>
      </w:pPr>
      <w:r w:rsidRPr="000D6392">
        <w:t xml:space="preserve">Researchers should use the term “drawing” </w:t>
      </w:r>
      <w:r>
        <w:t xml:space="preserve">or “sweepstakes” </w:t>
      </w:r>
      <w:r w:rsidRPr="000D6392">
        <w:t>rather than “lottery” or “raffle,” since the latter terms imply purchase of tickets by participants.</w:t>
      </w:r>
    </w:p>
    <w:p w:rsidR="000D6392" w:rsidRDefault="000D6392" w:rsidP="00B35E98">
      <w:pPr>
        <w:pStyle w:val="ListParagraph"/>
        <w:widowControl w:val="0"/>
        <w:numPr>
          <w:ilvl w:val="0"/>
          <w:numId w:val="16"/>
        </w:numPr>
        <w:spacing w:before="120"/>
        <w:ind w:left="1530"/>
      </w:pPr>
      <w:r>
        <w:t>To further avoid the possibility that a drawing would be perceived as a lottery, the protocol should describe procedures for ensuring that all individuals who are contacted concerning the research will be allowed to enter the drawing. This would encompass individuals who are invited to participate but decline, prospective subjects who are ineligible, and subjects who enroll but later withdraw/are withdrawn by the researchers. Additionally, the protocol should affirm that the drawing may be entered by any individual who asks to be included.</w:t>
      </w:r>
    </w:p>
    <w:p w:rsidR="000D6392" w:rsidRDefault="000D6392" w:rsidP="00B35E98">
      <w:pPr>
        <w:pStyle w:val="ListParagraph"/>
        <w:widowControl w:val="0"/>
        <w:numPr>
          <w:ilvl w:val="0"/>
          <w:numId w:val="16"/>
        </w:numPr>
        <w:spacing w:before="120"/>
        <w:ind w:left="1530"/>
      </w:pPr>
      <w:r>
        <w:t>The protocol and consent document(s) should also include the following information:</w:t>
      </w:r>
    </w:p>
    <w:p w:rsidR="000D6392" w:rsidRDefault="000D6392" w:rsidP="00B35E98">
      <w:pPr>
        <w:pStyle w:val="ListParagraph"/>
        <w:widowControl w:val="0"/>
        <w:numPr>
          <w:ilvl w:val="1"/>
          <w:numId w:val="16"/>
        </w:numPr>
        <w:spacing w:before="120"/>
        <w:ind w:left="2250"/>
      </w:pPr>
      <w:r>
        <w:t>Description of the prizes, including estimated value, and the total number of prizes to be awarded.</w:t>
      </w:r>
    </w:p>
    <w:p w:rsidR="000D6392" w:rsidRDefault="000D6392" w:rsidP="00B35E98">
      <w:pPr>
        <w:pStyle w:val="ListParagraph"/>
        <w:widowControl w:val="0"/>
        <w:numPr>
          <w:ilvl w:val="1"/>
          <w:numId w:val="16"/>
        </w:numPr>
        <w:spacing w:before="120"/>
        <w:ind w:left="2250"/>
      </w:pPr>
      <w:r>
        <w:t>The odds of winning a prize, if known, or explanatory language similar to this: “For any drawing, the odds of winning a prize depend on how many people are entered in the drawing. As we do not know how many people will participate in this study-related drawing, we cannot predict what will be the odds of winning a prize.”</w:t>
      </w:r>
    </w:p>
    <w:p w:rsidR="000D6392" w:rsidRDefault="000D6392" w:rsidP="00B35E98">
      <w:pPr>
        <w:pStyle w:val="ListParagraph"/>
        <w:widowControl w:val="0"/>
        <w:numPr>
          <w:ilvl w:val="1"/>
          <w:numId w:val="16"/>
        </w:numPr>
        <w:spacing w:before="120"/>
        <w:ind w:left="2250"/>
      </w:pPr>
      <w:r>
        <w:t>The approximate timing of the drawing (e.g., month/year).</w:t>
      </w:r>
    </w:p>
    <w:p w:rsidR="000D6392" w:rsidRDefault="00842EBC" w:rsidP="00B35E98">
      <w:pPr>
        <w:pStyle w:val="ListParagraph"/>
        <w:widowControl w:val="0"/>
        <w:numPr>
          <w:ilvl w:val="1"/>
          <w:numId w:val="16"/>
        </w:numPr>
        <w:spacing w:before="120"/>
        <w:ind w:left="2250"/>
      </w:pPr>
      <w:r>
        <w:t>A fair method of determining the winner, and an explanation of h</w:t>
      </w:r>
      <w:r w:rsidR="000D6392">
        <w:t>ow prizewinners will be notified.</w:t>
      </w:r>
    </w:p>
    <w:p w:rsidR="00A63A72" w:rsidRDefault="00A63A72" w:rsidP="00A63A72">
      <w:pPr>
        <w:pStyle w:val="ListParagraph"/>
        <w:widowControl w:val="0"/>
        <w:spacing w:before="80"/>
        <w:ind w:left="2250"/>
      </w:pPr>
    </w:p>
    <w:p w:rsidR="000D6392" w:rsidRPr="00A63A72" w:rsidRDefault="00A63A72" w:rsidP="00A63A72">
      <w:pPr>
        <w:pStyle w:val="ListParagraph"/>
        <w:widowControl w:val="0"/>
        <w:numPr>
          <w:ilvl w:val="0"/>
          <w:numId w:val="10"/>
        </w:numPr>
        <w:rPr>
          <w:b/>
          <w:u w:val="single"/>
        </w:rPr>
      </w:pPr>
      <w:r w:rsidRPr="00A63A72">
        <w:rPr>
          <w:b/>
          <w:u w:val="single"/>
        </w:rPr>
        <w:t>Financial Incentives for Federal Employees</w:t>
      </w:r>
    </w:p>
    <w:p w:rsidR="00A63A72" w:rsidRDefault="00A63A72" w:rsidP="00423C30">
      <w:pPr>
        <w:widowControl w:val="0"/>
        <w:spacing w:before="120"/>
        <w:ind w:left="720"/>
      </w:pPr>
      <w:r>
        <w:t>Federal employees have numerous restrictions regarding the receipt of compensation for outside activities. The use of research incentives for this group therefore has many barriers.</w:t>
      </w:r>
      <w:r w:rsidR="000F7B02">
        <w:t xml:space="preserve"> The following 3 scenarios are the most likely, though exceptions may exist and can be brought to the HSC for determination.</w:t>
      </w:r>
    </w:p>
    <w:p w:rsidR="000F7B02" w:rsidRDefault="000F7B02" w:rsidP="00B35E98">
      <w:pPr>
        <w:pStyle w:val="ListParagraph"/>
        <w:widowControl w:val="0"/>
        <w:numPr>
          <w:ilvl w:val="2"/>
          <w:numId w:val="16"/>
        </w:numPr>
        <w:spacing w:before="120"/>
        <w:ind w:left="1530"/>
      </w:pPr>
      <w:r>
        <w:t xml:space="preserve">Compensation is strictly prohibited to employees of LBNL, or if the funding source for the study is the same as the employer of the subject. </w:t>
      </w:r>
    </w:p>
    <w:p w:rsidR="000F7B02" w:rsidRDefault="00A63A72" w:rsidP="00B35E98">
      <w:pPr>
        <w:pStyle w:val="ListParagraph"/>
        <w:widowControl w:val="0"/>
        <w:numPr>
          <w:ilvl w:val="2"/>
          <w:numId w:val="16"/>
        </w:numPr>
        <w:spacing w:before="120"/>
        <w:ind w:left="1530"/>
      </w:pPr>
      <w:r>
        <w:t xml:space="preserve">Compensation </w:t>
      </w:r>
      <w:r w:rsidR="000F7B02">
        <w:t xml:space="preserve">of a maximum of $20 </w:t>
      </w:r>
      <w:r>
        <w:t>is allowed if the study population is recruited specifically because of their role as federal employee</w:t>
      </w:r>
      <w:r w:rsidR="000F7B02">
        <w:t>s</w:t>
      </w:r>
      <w:r>
        <w:t xml:space="preserve">, </w:t>
      </w:r>
      <w:r w:rsidR="000F7B02">
        <w:t xml:space="preserve">or </w:t>
      </w:r>
      <w:r>
        <w:t>if the subject of the study is directly tied to the job duties of the federal employee</w:t>
      </w:r>
      <w:r w:rsidR="000F7B02">
        <w:t xml:space="preserve">. This limited </w:t>
      </w:r>
      <w:r w:rsidR="000F7B02">
        <w:lastRenderedPageBreak/>
        <w:t xml:space="preserve">compensation amount is determined by </w:t>
      </w:r>
      <w:r w:rsidR="000F7B02" w:rsidRPr="000F7B02">
        <w:t>5 CFR 2635</w:t>
      </w:r>
      <w:r w:rsidR="000F7B02">
        <w:t>.204(a) which indicates that a gift of $20 or less is considered exempt from the established restrictions on gifts from prohibited sources. The form of compensation is specifically prohibited from being any cash equivalent defined in the regulation as “… a gift card that is issued by a credit card company or other financial institution, because such a card is equivalent to a gift of cash.”</w:t>
      </w:r>
    </w:p>
    <w:p w:rsidR="00607F81" w:rsidRPr="00A63A72" w:rsidRDefault="000F7B02" w:rsidP="00B35E98">
      <w:pPr>
        <w:pStyle w:val="ListParagraph"/>
        <w:widowControl w:val="0"/>
        <w:numPr>
          <w:ilvl w:val="2"/>
          <w:numId w:val="16"/>
        </w:numPr>
        <w:spacing w:before="120"/>
        <w:ind w:left="1530"/>
      </w:pPr>
      <w:r>
        <w:t xml:space="preserve">Compensation of </w:t>
      </w:r>
      <w:r w:rsidR="00A63A72">
        <w:t xml:space="preserve">a subject recruited entirely independently of their role as a federal employee </w:t>
      </w:r>
      <w:r w:rsidR="00A63A72" w:rsidRPr="00B35E98">
        <w:rPr>
          <w:b/>
          <w:i/>
        </w:rPr>
        <w:t xml:space="preserve">may </w:t>
      </w:r>
      <w:r w:rsidR="00A63A72">
        <w:t>be considered appropriate</w:t>
      </w:r>
      <w:r>
        <w:t xml:space="preserve"> under the 5 CFR 2635.204(e) exception regarding outside activities</w:t>
      </w:r>
      <w:r w:rsidR="00A63A72">
        <w:t xml:space="preserve">. It is likely that this incentive payment would need to be reported by the individual to their employer, and possible that prior approval may be necessary in order for the subject to participate. It is therefore </w:t>
      </w:r>
      <w:r w:rsidR="00604C50">
        <w:t xml:space="preserve">expected </w:t>
      </w:r>
      <w:r w:rsidR="00A63A72">
        <w:t xml:space="preserve">that in the case </w:t>
      </w:r>
      <w:r w:rsidR="00604C50">
        <w:t xml:space="preserve">of </w:t>
      </w:r>
      <w:r w:rsidR="00A63A72">
        <w:t>a subject population</w:t>
      </w:r>
      <w:r>
        <w:t xml:space="preserve"> recruited from the general public</w:t>
      </w:r>
      <w:r w:rsidR="00604C50">
        <w:t xml:space="preserve"> that</w:t>
      </w:r>
      <w:r w:rsidR="00A63A72">
        <w:t xml:space="preserve"> is likely to include federal employees, language be included in the consent forms</w:t>
      </w:r>
      <w:r>
        <w:t xml:space="preserve"> and other materials</w:t>
      </w:r>
      <w:r w:rsidR="00A63A72">
        <w:t xml:space="preserve"> to make the individuals aware of this potential conflict</w:t>
      </w:r>
      <w:r w:rsidR="00604C50">
        <w:t>, and to collect verification of eligibility for compensation</w:t>
      </w:r>
      <w:r w:rsidR="00A63A72">
        <w:t>. These situations will be assessed on a case-by-case basis by the HSC and the Procurement office, and adequate justification of the need to include these subjects will be required.</w:t>
      </w:r>
    </w:p>
    <w:p w:rsidR="00A63A72" w:rsidRPr="00BC42D7" w:rsidRDefault="00A63A72" w:rsidP="009457DF">
      <w:pPr>
        <w:widowControl w:val="0"/>
      </w:pPr>
    </w:p>
    <w:p w:rsidR="00CD5C87" w:rsidRPr="00265E5E" w:rsidRDefault="00265E5E" w:rsidP="00B3410C">
      <w:pPr>
        <w:widowControl w:val="0"/>
        <w:numPr>
          <w:ilvl w:val="0"/>
          <w:numId w:val="1"/>
        </w:numPr>
        <w:spacing w:after="160"/>
        <w:rPr>
          <w:b/>
          <w:bCs/>
          <w:sz w:val="28"/>
        </w:rPr>
      </w:pPr>
      <w:r w:rsidRPr="00265E5E">
        <w:rPr>
          <w:b/>
          <w:bCs/>
          <w:sz w:val="28"/>
        </w:rPr>
        <w:t>Roles &amp; Responsibilities</w:t>
      </w:r>
    </w:p>
    <w:tbl>
      <w:tblPr>
        <w:tblStyle w:val="TableGrid"/>
        <w:tblW w:w="0" w:type="auto"/>
        <w:jc w:val="center"/>
        <w:tblLook w:val="04A0" w:firstRow="1" w:lastRow="0" w:firstColumn="1" w:lastColumn="0" w:noHBand="0" w:noVBand="1"/>
      </w:tblPr>
      <w:tblGrid>
        <w:gridCol w:w="2875"/>
        <w:gridCol w:w="5755"/>
      </w:tblGrid>
      <w:tr w:rsidR="0006610B" w:rsidTr="00A63A72">
        <w:trPr>
          <w:jc w:val="center"/>
        </w:trPr>
        <w:tc>
          <w:tcPr>
            <w:tcW w:w="2875" w:type="dxa"/>
          </w:tcPr>
          <w:p w:rsidR="0006610B" w:rsidRPr="00265E5E" w:rsidRDefault="0006610B" w:rsidP="0006610B">
            <w:pPr>
              <w:widowControl w:val="0"/>
              <w:rPr>
                <w:b/>
              </w:rPr>
            </w:pPr>
            <w:r w:rsidRPr="00265E5E">
              <w:rPr>
                <w:b/>
              </w:rPr>
              <w:t>Role</w:t>
            </w:r>
          </w:p>
        </w:tc>
        <w:tc>
          <w:tcPr>
            <w:tcW w:w="5755" w:type="dxa"/>
          </w:tcPr>
          <w:p w:rsidR="0006610B" w:rsidRPr="00265E5E" w:rsidRDefault="0006610B" w:rsidP="0006610B">
            <w:pPr>
              <w:widowControl w:val="0"/>
              <w:rPr>
                <w:b/>
              </w:rPr>
            </w:pPr>
            <w:r w:rsidRPr="00265E5E">
              <w:rPr>
                <w:b/>
              </w:rPr>
              <w:t>Responsibility</w:t>
            </w:r>
          </w:p>
        </w:tc>
      </w:tr>
      <w:tr w:rsidR="0006610B" w:rsidTr="00423C30">
        <w:trPr>
          <w:trHeight w:val="1448"/>
          <w:jc w:val="center"/>
        </w:trPr>
        <w:tc>
          <w:tcPr>
            <w:tcW w:w="2875" w:type="dxa"/>
            <w:vAlign w:val="center"/>
          </w:tcPr>
          <w:p w:rsidR="0006610B" w:rsidRDefault="00BC42D7" w:rsidP="00423C30">
            <w:pPr>
              <w:widowControl w:val="0"/>
            </w:pPr>
            <w:r>
              <w:t>Research Study Personnel</w:t>
            </w:r>
          </w:p>
        </w:tc>
        <w:tc>
          <w:tcPr>
            <w:tcW w:w="5755" w:type="dxa"/>
            <w:vAlign w:val="center"/>
          </w:tcPr>
          <w:p w:rsidR="0006610B" w:rsidRDefault="00BC42D7" w:rsidP="00423C30">
            <w:pPr>
              <w:widowControl w:val="0"/>
            </w:pPr>
            <w:r>
              <w:t>Accurately</w:t>
            </w:r>
            <w:r w:rsidR="003A0DDD">
              <w:t xml:space="preserve"> and thoroughly</w:t>
            </w:r>
            <w:r>
              <w:t xml:space="preserve"> describ</w:t>
            </w:r>
            <w:r w:rsidR="00A63A72">
              <w:t>e</w:t>
            </w:r>
            <w:r>
              <w:t xml:space="preserve"> all compensation details in the protocol, informed consent documents, and (when appropriate) the recruitment materials.</w:t>
            </w:r>
          </w:p>
          <w:p w:rsidR="00604C50" w:rsidRDefault="00604C50" w:rsidP="00423C30">
            <w:pPr>
              <w:widowControl w:val="0"/>
            </w:pPr>
            <w:r>
              <w:t>Maintain a Payment Log according to the requirements of the OCFO</w:t>
            </w:r>
            <w:r w:rsidR="00423C30">
              <w:t xml:space="preserve"> (see G. Recordkeeping below)</w:t>
            </w:r>
            <w:r>
              <w:t>.</w:t>
            </w:r>
          </w:p>
        </w:tc>
      </w:tr>
      <w:tr w:rsidR="0006610B" w:rsidTr="00423C30">
        <w:trPr>
          <w:trHeight w:val="944"/>
          <w:jc w:val="center"/>
        </w:trPr>
        <w:tc>
          <w:tcPr>
            <w:tcW w:w="2875" w:type="dxa"/>
            <w:vAlign w:val="center"/>
          </w:tcPr>
          <w:p w:rsidR="0006610B" w:rsidRDefault="009B7833" w:rsidP="00423C30">
            <w:pPr>
              <w:widowControl w:val="0"/>
            </w:pPr>
            <w:r>
              <w:t>HSC Committee Members</w:t>
            </w:r>
          </w:p>
        </w:tc>
        <w:tc>
          <w:tcPr>
            <w:tcW w:w="5755" w:type="dxa"/>
            <w:vAlign w:val="center"/>
          </w:tcPr>
          <w:p w:rsidR="009B7833" w:rsidRDefault="003A0DDD" w:rsidP="00423C30">
            <w:pPr>
              <w:widowControl w:val="0"/>
            </w:pPr>
            <w:r>
              <w:t>Performing a t</w:t>
            </w:r>
            <w:r w:rsidR="00BC42D7">
              <w:t xml:space="preserve">horough review of all compensation amounts and methods to </w:t>
            </w:r>
            <w:r>
              <w:t>protect potential subjects from</w:t>
            </w:r>
            <w:r w:rsidR="00BC42D7">
              <w:t xml:space="preserve"> undue influence.</w:t>
            </w:r>
          </w:p>
        </w:tc>
      </w:tr>
    </w:tbl>
    <w:p w:rsidR="000C5385" w:rsidRPr="00B5354D" w:rsidRDefault="000C5385" w:rsidP="0006610B">
      <w:pPr>
        <w:widowControl w:val="0"/>
        <w:ind w:left="720"/>
      </w:pPr>
    </w:p>
    <w:p w:rsidR="0006610B" w:rsidRPr="00265E5E" w:rsidRDefault="00265E5E" w:rsidP="00B35E98">
      <w:pPr>
        <w:widowControl w:val="0"/>
        <w:numPr>
          <w:ilvl w:val="0"/>
          <w:numId w:val="1"/>
        </w:numPr>
        <w:spacing w:after="160"/>
        <w:rPr>
          <w:b/>
          <w:bCs/>
          <w:sz w:val="28"/>
        </w:rPr>
      </w:pPr>
      <w:r w:rsidRPr="00265E5E">
        <w:rPr>
          <w:b/>
          <w:bCs/>
          <w:sz w:val="28"/>
        </w:rPr>
        <w:t>Definitions/Acronyms</w:t>
      </w:r>
    </w:p>
    <w:p w:rsidR="00E66697" w:rsidRDefault="00E66697" w:rsidP="0006610B">
      <w:pPr>
        <w:widowControl w:val="0"/>
        <w:numPr>
          <w:ilvl w:val="1"/>
          <w:numId w:val="1"/>
        </w:numPr>
        <w:spacing w:before="120"/>
        <w:rPr>
          <w:b/>
        </w:rPr>
      </w:pPr>
      <w:r>
        <w:rPr>
          <w:b/>
        </w:rPr>
        <w:t xml:space="preserve">Compensation: </w:t>
      </w:r>
      <w:r>
        <w:t>t</w:t>
      </w:r>
      <w:r w:rsidRPr="00E66697">
        <w:t>he act or state of compensating, as by rewarding someone for service or by making up for someone's loss, damage, or injury by giving the injured party an appropriate benefit</w:t>
      </w:r>
      <w:r>
        <w:t>.</w:t>
      </w:r>
    </w:p>
    <w:p w:rsidR="00B3410C" w:rsidRPr="00B3289C" w:rsidRDefault="00B3410C" w:rsidP="00B3410C">
      <w:pPr>
        <w:widowControl w:val="0"/>
        <w:numPr>
          <w:ilvl w:val="1"/>
          <w:numId w:val="1"/>
        </w:numPr>
        <w:spacing w:before="120"/>
        <w:rPr>
          <w:b/>
        </w:rPr>
      </w:pPr>
      <w:r>
        <w:rPr>
          <w:b/>
          <w:bCs/>
        </w:rPr>
        <w:t xml:space="preserve">Undue Influence: </w:t>
      </w:r>
      <w:r w:rsidRPr="00E66697">
        <w:rPr>
          <w:bCs/>
        </w:rPr>
        <w:t>(1)</w:t>
      </w:r>
      <w:r>
        <w:rPr>
          <w:b/>
          <w:bCs/>
        </w:rPr>
        <w:t xml:space="preserve"> </w:t>
      </w:r>
      <w:r>
        <w:rPr>
          <w:bCs/>
        </w:rPr>
        <w:t>Influence by which a person is induced to act otherwise than by their own free will or without adequate attention to the consequences. (2)</w:t>
      </w:r>
      <w:r w:rsidRPr="00E66697">
        <w:t xml:space="preserve"> </w:t>
      </w:r>
      <w:r w:rsidRPr="00E66697">
        <w:rPr>
          <w:bCs/>
        </w:rPr>
        <w:t>Undue influence</w:t>
      </w:r>
      <w:r>
        <w:rPr>
          <w:bCs/>
        </w:rPr>
        <w:t xml:space="preserve"> […]</w:t>
      </w:r>
      <w:r w:rsidRPr="00E66697">
        <w:rPr>
          <w:bCs/>
        </w:rPr>
        <w:t xml:space="preserve"> occurs through an offer of an excessive, unwarranted, inappropriate or improper reward or other overture in order to obtain compliance.</w:t>
      </w:r>
      <w:r>
        <w:rPr>
          <w:bCs/>
        </w:rPr>
        <w:t xml:space="preserve"> (From The Belmont Report)</w:t>
      </w:r>
    </w:p>
    <w:p w:rsidR="00B3410C" w:rsidRPr="00B5354D" w:rsidRDefault="00B3410C" w:rsidP="00B3410C">
      <w:pPr>
        <w:widowControl w:val="0"/>
        <w:numPr>
          <w:ilvl w:val="1"/>
          <w:numId w:val="1"/>
        </w:numPr>
        <w:spacing w:before="120"/>
        <w:rPr>
          <w:b/>
        </w:rPr>
      </w:pPr>
      <w:r>
        <w:rPr>
          <w:b/>
          <w:bCs/>
        </w:rPr>
        <w:t>Lottery:</w:t>
      </w:r>
      <w:r>
        <w:rPr>
          <w:b/>
        </w:rPr>
        <w:t xml:space="preserve"> </w:t>
      </w:r>
      <w:r w:rsidRPr="00B3289C">
        <w:t xml:space="preserve">A lottery is any scheme for the disposition of property by chance among persons who have paid or promised to pay any value for the chance of obtaining the </w:t>
      </w:r>
      <w:r w:rsidRPr="00B3289C">
        <w:lastRenderedPageBreak/>
        <w:t>property, with the understanding that it will be disposed of by chance.</w:t>
      </w:r>
      <w:r>
        <w:t xml:space="preserve"> As defined by California Department of Consumer Affairs.</w:t>
      </w:r>
    </w:p>
    <w:p w:rsidR="0006610B" w:rsidRPr="00B5354D" w:rsidRDefault="0006610B" w:rsidP="0006610B">
      <w:pPr>
        <w:widowControl w:val="0"/>
        <w:numPr>
          <w:ilvl w:val="1"/>
          <w:numId w:val="1"/>
        </w:numPr>
        <w:spacing w:before="120"/>
        <w:rPr>
          <w:b/>
        </w:rPr>
      </w:pPr>
      <w:r w:rsidRPr="00B5354D">
        <w:rPr>
          <w:b/>
        </w:rPr>
        <w:t xml:space="preserve">Research: </w:t>
      </w:r>
      <w:r w:rsidR="009457DF">
        <w:t>A</w:t>
      </w:r>
      <w:r w:rsidRPr="00B5354D">
        <w:t xml:space="preserve"> systematic investigation, including research development, testing, and evaluation, designed to develop or contribute to generalizable knowledge. Activities that meet this definition and do not fall under one of the exclusions at 45 CFR 46.102(l)(1)-(4) constitute research for purposes of this policy whether or not they are conducted or supported under a program which is considered research for other purposes.</w:t>
      </w:r>
      <w:r w:rsidRPr="00B5354D">
        <w:rPr>
          <w:b/>
        </w:rPr>
        <w:t xml:space="preserve"> </w:t>
      </w:r>
    </w:p>
    <w:p w:rsidR="0006610B" w:rsidRPr="00B5354D" w:rsidRDefault="0006610B" w:rsidP="00B35E98">
      <w:pPr>
        <w:widowControl w:val="0"/>
        <w:numPr>
          <w:ilvl w:val="2"/>
          <w:numId w:val="1"/>
        </w:numPr>
        <w:spacing w:before="120"/>
        <w:ind w:left="1530" w:hanging="270"/>
        <w:rPr>
          <w:b/>
          <w:bCs/>
        </w:rPr>
      </w:pPr>
      <w:r w:rsidRPr="00B5354D">
        <w:rPr>
          <w:b/>
          <w:bCs/>
        </w:rPr>
        <w:t>Systematic Investigation:</w:t>
      </w:r>
      <w:r w:rsidRPr="00B5354D">
        <w:t xml:space="preserve"> a study or examination involving a methodical procedure or plan.</w:t>
      </w:r>
    </w:p>
    <w:p w:rsidR="0006610B" w:rsidRDefault="0006610B" w:rsidP="00B35E98">
      <w:pPr>
        <w:pStyle w:val="ListParagraph"/>
        <w:widowControl w:val="0"/>
        <w:numPr>
          <w:ilvl w:val="2"/>
          <w:numId w:val="1"/>
        </w:numPr>
        <w:spacing w:before="120"/>
        <w:ind w:left="1530" w:hanging="270"/>
      </w:pPr>
      <w:r w:rsidRPr="00C12B4F">
        <w:rPr>
          <w:b/>
          <w:bCs/>
        </w:rPr>
        <w:t>Generalizable knowledge:</w:t>
      </w:r>
      <w:r w:rsidRPr="00B5354D">
        <w:t xml:space="preserve"> </w:t>
      </w:r>
      <w:r w:rsidRPr="00C12B4F">
        <w:t xml:space="preserve">The information is expected to expand the knowledge base of a scientific discipline or other scholarly field of study and yield one or both of the following: </w:t>
      </w:r>
    </w:p>
    <w:p w:rsidR="0006610B" w:rsidRDefault="0006610B" w:rsidP="00B35E98">
      <w:pPr>
        <w:pStyle w:val="ListParagraph"/>
        <w:widowControl w:val="0"/>
        <w:numPr>
          <w:ilvl w:val="3"/>
          <w:numId w:val="1"/>
        </w:numPr>
        <w:spacing w:before="120"/>
        <w:ind w:left="2160" w:hanging="360"/>
      </w:pPr>
      <w:r w:rsidRPr="00C12B4F">
        <w:t>Results that are applicable to a larger population beyond the site of data collection or the specific subjects studied.</w:t>
      </w:r>
      <w:r>
        <w:t xml:space="preserve"> OR </w:t>
      </w:r>
    </w:p>
    <w:p w:rsidR="0006610B" w:rsidRPr="00C12B4F" w:rsidRDefault="0006610B" w:rsidP="00B35E98">
      <w:pPr>
        <w:pStyle w:val="ListParagraph"/>
        <w:widowControl w:val="0"/>
        <w:numPr>
          <w:ilvl w:val="3"/>
          <w:numId w:val="1"/>
        </w:numPr>
        <w:spacing w:before="120"/>
        <w:ind w:left="2160" w:hanging="360"/>
      </w:pPr>
      <w:r w:rsidRPr="00C12B4F">
        <w:t>Results that are intended to be used to develop, test, or support theories, principles, and statements of relationships, or to inform policy beyond the study.</w:t>
      </w:r>
    </w:p>
    <w:p w:rsidR="0006610B" w:rsidRPr="00B5354D" w:rsidRDefault="0006610B" w:rsidP="00B35E98">
      <w:pPr>
        <w:widowControl w:val="0"/>
        <w:numPr>
          <w:ilvl w:val="3"/>
          <w:numId w:val="1"/>
        </w:numPr>
        <w:spacing w:before="120"/>
        <w:ind w:left="2160" w:hanging="360"/>
      </w:pPr>
      <w:r>
        <w:t>Usually includes r</w:t>
      </w:r>
      <w:r w:rsidRPr="00B5354D">
        <w:t>esults shared at conferences and public forums, included in abstracts, or published in journals or other literature, outside the institution.</w:t>
      </w:r>
    </w:p>
    <w:p w:rsidR="0006610B" w:rsidRPr="00B5354D" w:rsidRDefault="0006610B" w:rsidP="0006610B">
      <w:pPr>
        <w:widowControl w:val="0"/>
        <w:numPr>
          <w:ilvl w:val="1"/>
          <w:numId w:val="1"/>
        </w:numPr>
        <w:tabs>
          <w:tab w:val="num" w:pos="792"/>
        </w:tabs>
        <w:spacing w:before="120"/>
        <w:rPr>
          <w:b/>
          <w:bCs/>
        </w:rPr>
      </w:pPr>
      <w:r w:rsidRPr="00B5354D">
        <w:rPr>
          <w:b/>
          <w:bCs/>
        </w:rPr>
        <w:t>Human subject:</w:t>
      </w:r>
      <w:r w:rsidRPr="00B5354D">
        <w:t xml:space="preserve"> </w:t>
      </w:r>
      <w:r w:rsidR="009457DF">
        <w:t>A</w:t>
      </w:r>
      <w:r w:rsidRPr="00B5354D">
        <w:t xml:space="preserve"> living individual about whom an investigator </w:t>
      </w:r>
      <w:r w:rsidR="00D069E0">
        <w:t xml:space="preserve">(whether professional or student) </w:t>
      </w:r>
      <w:r w:rsidRPr="00B5354D">
        <w:t xml:space="preserve">conducting research: (1) </w:t>
      </w:r>
      <w:r>
        <w:t xml:space="preserve">Obtains </w:t>
      </w:r>
      <w:r w:rsidRPr="00B5354D">
        <w:t>information or biospecimens through intervention or interaction with the individual, and uses, studies or analyzes the information or biospecimens</w:t>
      </w:r>
      <w:r>
        <w:t>;</w:t>
      </w:r>
      <w:r w:rsidRPr="00B5354D">
        <w:t xml:space="preserve"> or (2) Obtains, uses, studies, analyzes, or generates identifiable private information or identifiable biospecimens. In clinical research, a subject is someone who becomes a participant in research, either as a recipient of the test article or as a control.</w:t>
      </w:r>
    </w:p>
    <w:p w:rsidR="0006610B" w:rsidRPr="00B5354D" w:rsidRDefault="0006610B" w:rsidP="00B35E98">
      <w:pPr>
        <w:widowControl w:val="0"/>
        <w:numPr>
          <w:ilvl w:val="2"/>
          <w:numId w:val="1"/>
        </w:numPr>
        <w:spacing w:before="120"/>
        <w:ind w:left="1530" w:hanging="270"/>
        <w:rPr>
          <w:b/>
          <w:bCs/>
        </w:rPr>
      </w:pPr>
      <w:r w:rsidRPr="00B5354D">
        <w:rPr>
          <w:b/>
          <w:bCs/>
        </w:rPr>
        <w:t>Intervention</w:t>
      </w:r>
      <w:r w:rsidRPr="00B5354D">
        <w:rPr>
          <w:i/>
          <w:iCs/>
        </w:rPr>
        <w:t xml:space="preserve"> </w:t>
      </w:r>
      <w:r w:rsidRPr="00B5354D">
        <w:t>includes both physical procedures by which data or biospecimens are gathered (e</w:t>
      </w:r>
      <w:r w:rsidRPr="00B5354D">
        <w:rPr>
          <w:i/>
        </w:rPr>
        <w:t>.g.</w:t>
      </w:r>
      <w:r w:rsidRPr="00B5354D">
        <w:t xml:space="preserve">, venipuncture) and manipulations of the subject or the subject’s environment that are performed for research purposes. </w:t>
      </w:r>
    </w:p>
    <w:p w:rsidR="0006610B" w:rsidRPr="00B5354D" w:rsidRDefault="0006610B" w:rsidP="00B35E98">
      <w:pPr>
        <w:widowControl w:val="0"/>
        <w:numPr>
          <w:ilvl w:val="2"/>
          <w:numId w:val="1"/>
        </w:numPr>
        <w:spacing w:before="120"/>
        <w:ind w:left="1530" w:hanging="270"/>
        <w:rPr>
          <w:b/>
          <w:bCs/>
        </w:rPr>
      </w:pPr>
      <w:r w:rsidRPr="00B5354D">
        <w:rPr>
          <w:b/>
          <w:bCs/>
        </w:rPr>
        <w:t>Interaction</w:t>
      </w:r>
      <w:r w:rsidRPr="00B5354D">
        <w:rPr>
          <w:i/>
          <w:iCs/>
        </w:rPr>
        <w:t xml:space="preserve"> </w:t>
      </w:r>
      <w:r w:rsidRPr="00B5354D">
        <w:t>includes communication or interpersonal contact between investigator and subject.</w:t>
      </w:r>
    </w:p>
    <w:p w:rsidR="009457DF" w:rsidRPr="00B5354D" w:rsidRDefault="009457DF" w:rsidP="00B35E98">
      <w:pPr>
        <w:widowControl w:val="0"/>
        <w:rPr>
          <w:b/>
          <w:bCs/>
        </w:rPr>
      </w:pPr>
    </w:p>
    <w:p w:rsidR="00265E5E" w:rsidRPr="00265E5E" w:rsidRDefault="00265E5E" w:rsidP="00B35E98">
      <w:pPr>
        <w:widowControl w:val="0"/>
        <w:numPr>
          <w:ilvl w:val="0"/>
          <w:numId w:val="1"/>
        </w:numPr>
        <w:spacing w:after="160"/>
        <w:rPr>
          <w:b/>
          <w:sz w:val="28"/>
        </w:rPr>
      </w:pPr>
      <w:r w:rsidRPr="00265E5E">
        <w:rPr>
          <w:b/>
          <w:bCs/>
          <w:sz w:val="28"/>
        </w:rPr>
        <w:t>Recordkeeping Requirements</w:t>
      </w:r>
    </w:p>
    <w:p w:rsidR="00604C50" w:rsidRDefault="00B3289C" w:rsidP="00265E5E">
      <w:pPr>
        <w:widowControl w:val="0"/>
        <w:spacing w:before="120"/>
        <w:ind w:left="360"/>
      </w:pPr>
      <w:r>
        <w:t>D</w:t>
      </w:r>
      <w:r w:rsidR="00265E5E">
        <w:t xml:space="preserve">ocumentation of </w:t>
      </w:r>
      <w:r>
        <w:t xml:space="preserve">all compensation details </w:t>
      </w:r>
      <w:r w:rsidR="00265E5E">
        <w:t xml:space="preserve">will be maintained </w:t>
      </w:r>
      <w:r>
        <w:t>as a part of the study protocol in</w:t>
      </w:r>
      <w:r w:rsidR="00265E5E">
        <w:t xml:space="preserve"> the HARP system.</w:t>
      </w:r>
      <w:r w:rsidR="00265E5E" w:rsidRPr="00265E5E">
        <w:t xml:space="preserve"> </w:t>
      </w:r>
    </w:p>
    <w:p w:rsidR="00265E5E" w:rsidRDefault="00604C50" w:rsidP="00423C30">
      <w:pPr>
        <w:widowControl w:val="0"/>
        <w:spacing w:before="120"/>
        <w:ind w:left="360"/>
      </w:pPr>
      <w:r>
        <w:t>The</w:t>
      </w:r>
      <w:r w:rsidRPr="00604C50">
        <w:t xml:space="preserve"> Responsible Individual </w:t>
      </w:r>
      <w:r>
        <w:t xml:space="preserve">identified by Procurement </w:t>
      </w:r>
      <w:r w:rsidRPr="00604C50">
        <w:t xml:space="preserve">is required to maintain a Payment Log  (for a 7-year period) that shall include: </w:t>
      </w:r>
      <w:r w:rsidR="00423C30">
        <w:t xml:space="preserve">the unique project identifier, incentive information (date purchased, the dollar amount, the last 4 digits of the payment card (if applicable), the </w:t>
      </w:r>
      <w:r w:rsidR="00423C30">
        <w:lastRenderedPageBreak/>
        <w:t>date delivered to the study participant), and the names of all personnel handling the incentive payment from purchase to distribution</w:t>
      </w:r>
      <w:r>
        <w:t>.</w:t>
      </w:r>
      <w:r w:rsidR="00423C30">
        <w:t xml:space="preserve"> In the case of studies without collection of identifiable information, some other format of identifying individuals is allowed, such as a code or number, however it must be clear how many individuals received incentive payments, and if a single individual received more than one amount so that totals can be accurately tracked.</w:t>
      </w:r>
    </w:p>
    <w:p w:rsidR="00DF1F9E" w:rsidRDefault="00DF1F9E" w:rsidP="00DF1F9E">
      <w:pPr>
        <w:widowControl w:val="0"/>
        <w:ind w:left="360"/>
      </w:pPr>
    </w:p>
    <w:p w:rsidR="00265E5E" w:rsidRPr="00265E5E" w:rsidRDefault="00265E5E" w:rsidP="00B35E98">
      <w:pPr>
        <w:pStyle w:val="ListParagraph"/>
        <w:widowControl w:val="0"/>
        <w:numPr>
          <w:ilvl w:val="0"/>
          <w:numId w:val="1"/>
        </w:numPr>
        <w:spacing w:after="160"/>
        <w:rPr>
          <w:sz w:val="28"/>
        </w:rPr>
      </w:pPr>
      <w:r w:rsidRPr="00265E5E">
        <w:rPr>
          <w:b/>
          <w:sz w:val="28"/>
        </w:rPr>
        <w:t>Implementing Documents</w:t>
      </w:r>
    </w:p>
    <w:tbl>
      <w:tblPr>
        <w:tblW w:w="8550" w:type="dxa"/>
        <w:tblInd w:w="352" w:type="dxa"/>
        <w:shd w:val="clear" w:color="auto" w:fill="FFFFFF"/>
        <w:tblCellMar>
          <w:top w:w="15" w:type="dxa"/>
          <w:left w:w="15" w:type="dxa"/>
          <w:bottom w:w="15" w:type="dxa"/>
          <w:right w:w="15" w:type="dxa"/>
        </w:tblCellMar>
        <w:tblLook w:val="04A0" w:firstRow="1" w:lastRow="0" w:firstColumn="1" w:lastColumn="0" w:noHBand="0" w:noVBand="1"/>
      </w:tblPr>
      <w:tblGrid>
        <w:gridCol w:w="1174"/>
        <w:gridCol w:w="5846"/>
        <w:gridCol w:w="1530"/>
      </w:tblGrid>
      <w:tr w:rsidR="00265E5E" w:rsidRPr="009457DF" w:rsidTr="00B35E98">
        <w:trPr>
          <w:trHeight w:val="543"/>
        </w:trPr>
        <w:tc>
          <w:tcPr>
            <w:tcW w:w="1174"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9457DF" w:rsidRPr="009457DF" w:rsidRDefault="00265E5E" w:rsidP="009457DF">
            <w:pPr>
              <w:pStyle w:val="NormalWeb"/>
              <w:spacing w:before="0" w:beforeAutospacing="0" w:after="0" w:afterAutospacing="0"/>
              <w:jc w:val="center"/>
              <w:rPr>
                <w:b/>
                <w:bCs/>
                <w:color w:val="333333"/>
              </w:rPr>
            </w:pPr>
            <w:r w:rsidRPr="009457DF">
              <w:rPr>
                <w:rStyle w:val="Strong"/>
                <w:color w:val="333333"/>
              </w:rPr>
              <w:t>Document Number</w:t>
            </w:r>
          </w:p>
        </w:tc>
        <w:tc>
          <w:tcPr>
            <w:tcW w:w="5846"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Pr="009457DF" w:rsidRDefault="00265E5E" w:rsidP="009457DF">
            <w:pPr>
              <w:pStyle w:val="NormalWeb"/>
              <w:spacing w:before="0" w:beforeAutospacing="0" w:after="0" w:afterAutospacing="0"/>
              <w:jc w:val="center"/>
              <w:rPr>
                <w:color w:val="333333"/>
              </w:rPr>
            </w:pPr>
            <w:r w:rsidRPr="009457DF">
              <w:rPr>
                <w:rStyle w:val="Strong"/>
                <w:color w:val="333333"/>
              </w:rPr>
              <w:t>Document Title</w:t>
            </w:r>
          </w:p>
        </w:tc>
        <w:tc>
          <w:tcPr>
            <w:tcW w:w="153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Pr="009457DF" w:rsidRDefault="00265E5E" w:rsidP="009457DF">
            <w:pPr>
              <w:pStyle w:val="NormalWeb"/>
              <w:spacing w:before="0" w:beforeAutospacing="0" w:after="0" w:afterAutospacing="0"/>
              <w:jc w:val="center"/>
              <w:rPr>
                <w:color w:val="333333"/>
              </w:rPr>
            </w:pPr>
            <w:r w:rsidRPr="009457DF">
              <w:rPr>
                <w:rStyle w:val="Strong"/>
                <w:color w:val="333333"/>
              </w:rPr>
              <w:t>Type</w:t>
            </w:r>
          </w:p>
        </w:tc>
      </w:tr>
      <w:tr w:rsidR="00265E5E" w:rsidRPr="009457DF" w:rsidTr="00B35E98">
        <w:tc>
          <w:tcPr>
            <w:tcW w:w="1174"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Pr="009457DF" w:rsidRDefault="00265E5E" w:rsidP="00B35E98">
            <w:pPr>
              <w:pStyle w:val="NormalWeb"/>
              <w:spacing w:before="0" w:beforeAutospacing="0" w:after="0" w:afterAutospacing="0"/>
              <w:jc w:val="center"/>
              <w:rPr>
                <w:color w:val="333333"/>
              </w:rPr>
            </w:pPr>
            <w:r w:rsidRPr="009457DF">
              <w:rPr>
                <w:color w:val="333333"/>
              </w:rPr>
              <w:t>N/A</w:t>
            </w:r>
          </w:p>
        </w:tc>
        <w:tc>
          <w:tcPr>
            <w:tcW w:w="5846"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hideMark/>
          </w:tcPr>
          <w:p w:rsidR="00265E5E" w:rsidRPr="009457DF" w:rsidRDefault="00021005" w:rsidP="009457DF">
            <w:pPr>
              <w:pStyle w:val="NormalWeb"/>
              <w:spacing w:before="0" w:beforeAutospacing="0" w:after="0" w:afterAutospacing="0"/>
              <w:rPr>
                <w:color w:val="333333"/>
              </w:rPr>
            </w:pPr>
            <w:hyperlink r:id="rId9" w:history="1">
              <w:r w:rsidR="00265E5E" w:rsidRPr="009457DF">
                <w:rPr>
                  <w:rStyle w:val="Hyperlink"/>
                  <w:color w:val="0000FF"/>
                </w:rPr>
                <w:t>Human Subjects Committee</w:t>
              </w:r>
            </w:hyperlink>
            <w:r w:rsidR="00265E5E" w:rsidRPr="009457DF">
              <w:rPr>
                <w:color w:val="0000FF"/>
              </w:rPr>
              <w:t> </w:t>
            </w:r>
          </w:p>
        </w:tc>
        <w:tc>
          <w:tcPr>
            <w:tcW w:w="153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hideMark/>
          </w:tcPr>
          <w:p w:rsidR="00265E5E" w:rsidRPr="009457DF" w:rsidRDefault="00265E5E" w:rsidP="009457DF">
            <w:pPr>
              <w:pStyle w:val="NormalWeb"/>
              <w:spacing w:before="0" w:beforeAutospacing="0" w:after="0" w:afterAutospacing="0"/>
              <w:rPr>
                <w:color w:val="333333"/>
              </w:rPr>
            </w:pPr>
            <w:r w:rsidRPr="009457DF">
              <w:rPr>
                <w:color w:val="333333"/>
              </w:rPr>
              <w:t>Website</w:t>
            </w:r>
          </w:p>
        </w:tc>
      </w:tr>
      <w:tr w:rsidR="009457DF" w:rsidRPr="009457DF" w:rsidTr="00B35E98">
        <w:tc>
          <w:tcPr>
            <w:tcW w:w="1174"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tcPr>
          <w:p w:rsidR="009457DF" w:rsidRPr="009457DF" w:rsidRDefault="009457DF" w:rsidP="00B35E98">
            <w:pPr>
              <w:pStyle w:val="NormalWeb"/>
              <w:spacing w:before="0" w:beforeAutospacing="0" w:after="0" w:afterAutospacing="0"/>
              <w:jc w:val="center"/>
              <w:rPr>
                <w:color w:val="333333"/>
              </w:rPr>
            </w:pPr>
            <w:r>
              <w:rPr>
                <w:color w:val="333333"/>
              </w:rPr>
              <w:t>N/A</w:t>
            </w:r>
          </w:p>
        </w:tc>
        <w:tc>
          <w:tcPr>
            <w:tcW w:w="5846"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9457DF" w:rsidRPr="009457DF" w:rsidRDefault="00021005" w:rsidP="009457DF">
            <w:pPr>
              <w:pStyle w:val="NormalWeb"/>
              <w:spacing w:before="0" w:beforeAutospacing="0" w:after="0" w:afterAutospacing="0"/>
              <w:rPr>
                <w:color w:val="0000FF"/>
              </w:rPr>
            </w:pPr>
            <w:hyperlink r:id="rId10" w:history="1">
              <w:r w:rsidR="009457DF" w:rsidRPr="009457DF">
                <w:rPr>
                  <w:rStyle w:val="Hyperlink"/>
                  <w:color w:val="0000FF"/>
                </w:rPr>
                <w:t>Human/Animal Research Protocol Management System</w:t>
              </w:r>
            </w:hyperlink>
          </w:p>
        </w:tc>
        <w:tc>
          <w:tcPr>
            <w:tcW w:w="153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9457DF" w:rsidRPr="009457DF" w:rsidRDefault="009457DF" w:rsidP="009457DF">
            <w:pPr>
              <w:pStyle w:val="NormalWeb"/>
              <w:spacing w:before="0" w:beforeAutospacing="0" w:after="0" w:afterAutospacing="0"/>
              <w:rPr>
                <w:color w:val="333333"/>
              </w:rPr>
            </w:pPr>
            <w:r>
              <w:rPr>
                <w:color w:val="333333"/>
              </w:rPr>
              <w:t>Website</w:t>
            </w:r>
          </w:p>
        </w:tc>
      </w:tr>
      <w:tr w:rsidR="003A0DDD" w:rsidRPr="009457DF" w:rsidTr="00B35E98">
        <w:tc>
          <w:tcPr>
            <w:tcW w:w="1174"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tcPr>
          <w:p w:rsidR="003A0DDD" w:rsidRDefault="00A9478E" w:rsidP="00B35E98">
            <w:pPr>
              <w:pStyle w:val="NormalWeb"/>
              <w:spacing w:before="0" w:beforeAutospacing="0" w:after="0" w:afterAutospacing="0"/>
              <w:jc w:val="center"/>
              <w:rPr>
                <w:color w:val="333333"/>
              </w:rPr>
            </w:pPr>
            <w:r>
              <w:rPr>
                <w:color w:val="333333"/>
              </w:rPr>
              <w:t>N/A</w:t>
            </w:r>
          </w:p>
        </w:tc>
        <w:tc>
          <w:tcPr>
            <w:tcW w:w="5846"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3A0DDD" w:rsidRDefault="00021005" w:rsidP="009457DF">
            <w:pPr>
              <w:pStyle w:val="NormalWeb"/>
              <w:spacing w:before="0" w:beforeAutospacing="0" w:after="0" w:afterAutospacing="0"/>
            </w:pPr>
            <w:hyperlink r:id="rId11" w:history="1">
              <w:r w:rsidR="003A0DDD" w:rsidRPr="00A9478E">
                <w:rPr>
                  <w:rStyle w:val="Hyperlink"/>
                </w:rPr>
                <w:t xml:space="preserve">Customer Guide for </w:t>
              </w:r>
              <w:r w:rsidR="00A9478E" w:rsidRPr="00A9478E">
                <w:rPr>
                  <w:rStyle w:val="Hyperlink"/>
                </w:rPr>
                <w:t>Human Subjects Research</w:t>
              </w:r>
            </w:hyperlink>
          </w:p>
        </w:tc>
        <w:tc>
          <w:tcPr>
            <w:tcW w:w="153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3A0DDD" w:rsidRDefault="00A9478E" w:rsidP="009457DF">
            <w:pPr>
              <w:pStyle w:val="NormalWeb"/>
              <w:spacing w:before="0" w:beforeAutospacing="0" w:after="0" w:afterAutospacing="0"/>
              <w:rPr>
                <w:color w:val="333333"/>
              </w:rPr>
            </w:pPr>
            <w:r>
              <w:rPr>
                <w:color w:val="333333"/>
              </w:rPr>
              <w:t>Guidance</w:t>
            </w:r>
          </w:p>
        </w:tc>
      </w:tr>
      <w:tr w:rsidR="00A9478E" w:rsidRPr="009457DF" w:rsidTr="00B35E98">
        <w:tc>
          <w:tcPr>
            <w:tcW w:w="1174"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tcPr>
          <w:p w:rsidR="00A9478E" w:rsidRDefault="00A9478E" w:rsidP="00B35E98">
            <w:pPr>
              <w:pStyle w:val="NormalWeb"/>
              <w:spacing w:before="0" w:beforeAutospacing="0" w:after="0" w:afterAutospacing="0"/>
              <w:jc w:val="center"/>
              <w:rPr>
                <w:color w:val="333333"/>
              </w:rPr>
            </w:pPr>
            <w:r>
              <w:rPr>
                <w:color w:val="333333"/>
              </w:rPr>
              <w:t>N/A</w:t>
            </w:r>
          </w:p>
        </w:tc>
        <w:tc>
          <w:tcPr>
            <w:tcW w:w="5846"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A9478E" w:rsidRDefault="00021005" w:rsidP="009457DF">
            <w:pPr>
              <w:pStyle w:val="NormalWeb"/>
              <w:spacing w:before="0" w:beforeAutospacing="0" w:after="0" w:afterAutospacing="0"/>
            </w:pPr>
            <w:hyperlink r:id="rId12" w:history="1">
              <w:r w:rsidR="00A9478E" w:rsidRPr="00A9478E">
                <w:rPr>
                  <w:rStyle w:val="Hyperlink"/>
                </w:rPr>
                <w:t>Customer Guide for Research Incentives</w:t>
              </w:r>
            </w:hyperlink>
          </w:p>
        </w:tc>
        <w:tc>
          <w:tcPr>
            <w:tcW w:w="153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A9478E" w:rsidRDefault="00A9478E" w:rsidP="009457DF">
            <w:pPr>
              <w:pStyle w:val="NormalWeb"/>
              <w:spacing w:before="0" w:beforeAutospacing="0" w:after="0" w:afterAutospacing="0"/>
              <w:rPr>
                <w:color w:val="333333"/>
              </w:rPr>
            </w:pPr>
            <w:r>
              <w:rPr>
                <w:color w:val="333333"/>
              </w:rPr>
              <w:t>Guidance</w:t>
            </w:r>
          </w:p>
        </w:tc>
      </w:tr>
      <w:tr w:rsidR="00604C50" w:rsidRPr="009457DF" w:rsidTr="00B35E98">
        <w:tc>
          <w:tcPr>
            <w:tcW w:w="1174"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tcPr>
          <w:p w:rsidR="00604C50" w:rsidRDefault="00A9478E" w:rsidP="00B35E98">
            <w:pPr>
              <w:pStyle w:val="NormalWeb"/>
              <w:spacing w:before="0" w:beforeAutospacing="0" w:after="0" w:afterAutospacing="0"/>
              <w:jc w:val="center"/>
              <w:rPr>
                <w:color w:val="333333"/>
              </w:rPr>
            </w:pPr>
            <w:r>
              <w:rPr>
                <w:color w:val="333333"/>
              </w:rPr>
              <w:t>N/A</w:t>
            </w:r>
          </w:p>
        </w:tc>
        <w:tc>
          <w:tcPr>
            <w:tcW w:w="5846"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604C50" w:rsidRDefault="00021005" w:rsidP="009457DF">
            <w:pPr>
              <w:pStyle w:val="NormalWeb"/>
              <w:spacing w:before="0" w:beforeAutospacing="0" w:after="0" w:afterAutospacing="0"/>
            </w:pPr>
            <w:hyperlink r:id="rId13" w:history="1">
              <w:r w:rsidR="00604C50" w:rsidRPr="00A9478E">
                <w:rPr>
                  <w:rStyle w:val="Hyperlink"/>
                </w:rPr>
                <w:t>Approval to Purchase Research Incentives</w:t>
              </w:r>
            </w:hyperlink>
          </w:p>
        </w:tc>
        <w:tc>
          <w:tcPr>
            <w:tcW w:w="153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tcPr>
          <w:p w:rsidR="00604C50" w:rsidRDefault="00A9478E" w:rsidP="009457DF">
            <w:pPr>
              <w:pStyle w:val="NormalWeb"/>
              <w:spacing w:before="0" w:beforeAutospacing="0" w:after="0" w:afterAutospacing="0"/>
              <w:rPr>
                <w:color w:val="333333"/>
              </w:rPr>
            </w:pPr>
            <w:r>
              <w:rPr>
                <w:color w:val="333333"/>
              </w:rPr>
              <w:t>Form</w:t>
            </w:r>
          </w:p>
        </w:tc>
      </w:tr>
    </w:tbl>
    <w:p w:rsidR="00265E5E" w:rsidRPr="00265E5E" w:rsidRDefault="00265E5E" w:rsidP="00265E5E">
      <w:pPr>
        <w:pStyle w:val="ListParagraph"/>
        <w:widowControl w:val="0"/>
        <w:spacing w:before="120"/>
        <w:ind w:left="360"/>
      </w:pPr>
    </w:p>
    <w:p w:rsidR="00265E5E" w:rsidRPr="00DF1F9E" w:rsidRDefault="00265E5E" w:rsidP="00265E5E">
      <w:pPr>
        <w:pStyle w:val="ListParagraph"/>
        <w:widowControl w:val="0"/>
        <w:numPr>
          <w:ilvl w:val="0"/>
          <w:numId w:val="1"/>
        </w:numPr>
        <w:spacing w:before="120"/>
        <w:rPr>
          <w:sz w:val="28"/>
        </w:rPr>
      </w:pPr>
      <w:r w:rsidRPr="00265E5E">
        <w:rPr>
          <w:b/>
          <w:sz w:val="28"/>
        </w:rPr>
        <w:t>Contact Information</w:t>
      </w:r>
    </w:p>
    <w:p w:rsidR="00DF1F9E" w:rsidRDefault="00021005" w:rsidP="00DF1F9E">
      <w:pPr>
        <w:pStyle w:val="ListParagraph"/>
        <w:widowControl w:val="0"/>
        <w:spacing w:before="120"/>
        <w:ind w:left="360"/>
        <w:rPr>
          <w:color w:val="333333"/>
          <w:shd w:val="clear" w:color="auto" w:fill="FFFFFF"/>
        </w:rPr>
      </w:pPr>
      <w:hyperlink r:id="rId14" w:history="1">
        <w:r w:rsidR="00DF1F9E" w:rsidRPr="00DF1F9E">
          <w:rPr>
            <w:rStyle w:val="Hyperlink"/>
            <w:color w:val="3333CC"/>
            <w:shd w:val="clear" w:color="auto" w:fill="FFFFFF"/>
          </w:rPr>
          <w:t>Human and Animal Regulatory Committees Office</w:t>
        </w:r>
      </w:hyperlink>
      <w:r w:rsidR="00DF1F9E" w:rsidRPr="00DF1F9E">
        <w:rPr>
          <w:color w:val="333333"/>
        </w:rPr>
        <w:br/>
      </w:r>
      <w:hyperlink r:id="rId15" w:history="1">
        <w:r w:rsidR="00DF1F9E" w:rsidRPr="00DF1F9E">
          <w:rPr>
            <w:rStyle w:val="Hyperlink"/>
            <w:color w:val="3333CC"/>
            <w:shd w:val="clear" w:color="auto" w:fill="FFFFFF"/>
          </w:rPr>
          <w:t>HARC@lbl.gov</w:t>
        </w:r>
      </w:hyperlink>
      <w:r w:rsidR="00DF1F9E" w:rsidRPr="00DF1F9E">
        <w:rPr>
          <w:color w:val="333333"/>
        </w:rPr>
        <w:br/>
      </w:r>
      <w:r w:rsidR="00DF1F9E" w:rsidRPr="00DF1F9E">
        <w:rPr>
          <w:color w:val="333333"/>
          <w:shd w:val="clear" w:color="auto" w:fill="FFFFFF"/>
        </w:rPr>
        <w:t>(510) 486-5399</w:t>
      </w:r>
    </w:p>
    <w:p w:rsidR="00DF1F9E" w:rsidRPr="00DF1F9E" w:rsidRDefault="00DF1F9E" w:rsidP="00DF1F9E">
      <w:pPr>
        <w:pStyle w:val="ListParagraph"/>
        <w:widowControl w:val="0"/>
        <w:ind w:left="360"/>
      </w:pPr>
    </w:p>
    <w:p w:rsidR="00265E5E" w:rsidRPr="00265E5E" w:rsidRDefault="00265E5E" w:rsidP="00265E5E">
      <w:pPr>
        <w:pStyle w:val="ListParagraph"/>
        <w:widowControl w:val="0"/>
        <w:numPr>
          <w:ilvl w:val="0"/>
          <w:numId w:val="1"/>
        </w:numPr>
        <w:spacing w:before="120" w:after="120"/>
        <w:rPr>
          <w:sz w:val="28"/>
        </w:rPr>
      </w:pPr>
      <w:r w:rsidRPr="00265E5E">
        <w:rPr>
          <w:b/>
          <w:sz w:val="28"/>
        </w:rPr>
        <w:t>Revision History</w:t>
      </w:r>
    </w:p>
    <w:tbl>
      <w:tblPr>
        <w:tblW w:w="8640"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797"/>
        <w:gridCol w:w="1003"/>
        <w:gridCol w:w="1080"/>
        <w:gridCol w:w="2250"/>
        <w:gridCol w:w="2070"/>
        <w:gridCol w:w="1440"/>
      </w:tblGrid>
      <w:tr w:rsidR="00265E5E" w:rsidTr="00B35E98">
        <w:trPr>
          <w:trHeight w:val="300"/>
          <w:jc w:val="center"/>
        </w:trPr>
        <w:tc>
          <w:tcPr>
            <w:tcW w:w="797"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265E5E" w:rsidP="009457DF">
            <w:pPr>
              <w:pStyle w:val="NormalWeb"/>
              <w:spacing w:before="0" w:beforeAutospacing="0" w:after="0" w:afterAutospacing="0"/>
              <w:jc w:val="center"/>
              <w:rPr>
                <w:rFonts w:ascii="Arial" w:hAnsi="Arial" w:cs="Arial"/>
                <w:color w:val="333333"/>
                <w:sz w:val="21"/>
                <w:szCs w:val="21"/>
              </w:rPr>
            </w:pPr>
            <w:r>
              <w:rPr>
                <w:rStyle w:val="Strong"/>
                <w:rFonts w:ascii="Arial" w:hAnsi="Arial" w:cs="Arial"/>
                <w:color w:val="333333"/>
                <w:sz w:val="21"/>
                <w:szCs w:val="21"/>
              </w:rPr>
              <w:t>Date</w:t>
            </w:r>
          </w:p>
        </w:tc>
        <w:tc>
          <w:tcPr>
            <w:tcW w:w="1003"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265E5E" w:rsidP="009457DF">
            <w:pPr>
              <w:pStyle w:val="NormalWeb"/>
              <w:spacing w:before="0" w:beforeAutospacing="0" w:after="0" w:afterAutospacing="0"/>
              <w:jc w:val="center"/>
              <w:rPr>
                <w:rFonts w:ascii="Arial" w:hAnsi="Arial" w:cs="Arial"/>
                <w:color w:val="333333"/>
                <w:sz w:val="21"/>
                <w:szCs w:val="21"/>
              </w:rPr>
            </w:pPr>
            <w:r>
              <w:rPr>
                <w:rStyle w:val="Strong"/>
                <w:rFonts w:ascii="Arial" w:hAnsi="Arial" w:cs="Arial"/>
                <w:color w:val="333333"/>
                <w:sz w:val="21"/>
                <w:szCs w:val="21"/>
              </w:rPr>
              <w:t xml:space="preserve">Revision </w:t>
            </w:r>
          </w:p>
        </w:tc>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265E5E" w:rsidP="009457DF">
            <w:pPr>
              <w:pStyle w:val="NormalWeb"/>
              <w:spacing w:before="0" w:beforeAutospacing="0" w:after="0" w:afterAutospacing="0"/>
              <w:jc w:val="center"/>
              <w:rPr>
                <w:rFonts w:ascii="Arial" w:hAnsi="Arial" w:cs="Arial"/>
                <w:color w:val="333333"/>
                <w:sz w:val="21"/>
                <w:szCs w:val="21"/>
              </w:rPr>
            </w:pPr>
            <w:r>
              <w:rPr>
                <w:rStyle w:val="Strong"/>
                <w:rFonts w:ascii="Arial" w:hAnsi="Arial" w:cs="Arial"/>
                <w:color w:val="333333"/>
                <w:sz w:val="21"/>
                <w:szCs w:val="21"/>
              </w:rPr>
              <w:t>By whom</w:t>
            </w:r>
          </w:p>
        </w:tc>
        <w:tc>
          <w:tcPr>
            <w:tcW w:w="225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265E5E" w:rsidP="009457DF">
            <w:pPr>
              <w:pStyle w:val="NormalWeb"/>
              <w:spacing w:before="0" w:beforeAutospacing="0" w:after="0" w:afterAutospacing="0"/>
              <w:jc w:val="center"/>
              <w:rPr>
                <w:rFonts w:ascii="Arial" w:hAnsi="Arial" w:cs="Arial"/>
                <w:color w:val="333333"/>
                <w:sz w:val="21"/>
                <w:szCs w:val="21"/>
              </w:rPr>
            </w:pPr>
            <w:r>
              <w:rPr>
                <w:rStyle w:val="Strong"/>
                <w:rFonts w:ascii="Arial" w:hAnsi="Arial" w:cs="Arial"/>
                <w:color w:val="333333"/>
                <w:sz w:val="21"/>
                <w:szCs w:val="21"/>
              </w:rPr>
              <w:t>Revision Description</w:t>
            </w:r>
          </w:p>
        </w:tc>
        <w:tc>
          <w:tcPr>
            <w:tcW w:w="207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265E5E" w:rsidP="009457DF">
            <w:pPr>
              <w:pStyle w:val="NormalWeb"/>
              <w:spacing w:before="0" w:beforeAutospacing="0" w:after="0" w:afterAutospacing="0"/>
              <w:jc w:val="center"/>
              <w:rPr>
                <w:rFonts w:ascii="Arial" w:hAnsi="Arial" w:cs="Arial"/>
                <w:color w:val="333333"/>
                <w:sz w:val="21"/>
                <w:szCs w:val="21"/>
              </w:rPr>
            </w:pPr>
            <w:r>
              <w:rPr>
                <w:rStyle w:val="Strong"/>
                <w:rFonts w:ascii="Arial" w:hAnsi="Arial" w:cs="Arial"/>
                <w:color w:val="333333"/>
                <w:sz w:val="21"/>
                <w:szCs w:val="21"/>
              </w:rPr>
              <w:t>Section(s) affected</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265E5E" w:rsidP="009457DF">
            <w:pPr>
              <w:pStyle w:val="NormalWeb"/>
              <w:spacing w:before="0" w:beforeAutospacing="0" w:after="0" w:afterAutospacing="0"/>
              <w:jc w:val="center"/>
              <w:rPr>
                <w:rFonts w:ascii="Arial" w:hAnsi="Arial" w:cs="Arial"/>
                <w:color w:val="333333"/>
                <w:sz w:val="21"/>
                <w:szCs w:val="21"/>
              </w:rPr>
            </w:pPr>
            <w:r>
              <w:rPr>
                <w:rStyle w:val="Strong"/>
                <w:rFonts w:ascii="Arial" w:hAnsi="Arial" w:cs="Arial"/>
                <w:color w:val="333333"/>
                <w:sz w:val="21"/>
                <w:szCs w:val="21"/>
              </w:rPr>
              <w:t>Change Type</w:t>
            </w:r>
          </w:p>
        </w:tc>
      </w:tr>
      <w:tr w:rsidR="00265E5E" w:rsidTr="00AB247D">
        <w:trPr>
          <w:jc w:val="center"/>
        </w:trPr>
        <w:tc>
          <w:tcPr>
            <w:tcW w:w="797"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tcPr>
          <w:p w:rsidR="00265E5E" w:rsidRDefault="00AB247D" w:rsidP="00AB247D">
            <w:pPr>
              <w:pStyle w:val="NormalWeb"/>
              <w:spacing w:before="0" w:beforeAutospacing="0" w:after="0" w:afterAutospacing="0"/>
              <w:jc w:val="center"/>
              <w:rPr>
                <w:rFonts w:ascii="Arial" w:hAnsi="Arial" w:cs="Arial"/>
                <w:color w:val="333333"/>
                <w:sz w:val="21"/>
                <w:szCs w:val="21"/>
              </w:rPr>
            </w:pPr>
            <w:r>
              <w:rPr>
                <w:rFonts w:ascii="Arial" w:hAnsi="Arial" w:cs="Arial"/>
                <w:color w:val="333333"/>
                <w:sz w:val="21"/>
                <w:szCs w:val="21"/>
              </w:rPr>
              <w:t>4/4/22</w:t>
            </w:r>
          </w:p>
        </w:tc>
        <w:tc>
          <w:tcPr>
            <w:tcW w:w="1003"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AB247D" w:rsidP="00AB247D">
            <w:pPr>
              <w:pStyle w:val="NormalWeb"/>
              <w:spacing w:before="0" w:beforeAutospacing="0" w:after="0" w:afterAutospacing="0"/>
              <w:jc w:val="center"/>
              <w:rPr>
                <w:rFonts w:ascii="Arial" w:hAnsi="Arial" w:cs="Arial"/>
                <w:color w:val="333333"/>
                <w:sz w:val="21"/>
                <w:szCs w:val="21"/>
              </w:rPr>
            </w:pPr>
            <w:r>
              <w:rPr>
                <w:rFonts w:ascii="Arial" w:hAnsi="Arial" w:cs="Arial"/>
                <w:color w:val="333333"/>
                <w:sz w:val="21"/>
                <w:szCs w:val="21"/>
              </w:rPr>
              <w:t>1</w:t>
            </w:r>
          </w:p>
        </w:tc>
        <w:tc>
          <w:tcPr>
            <w:tcW w:w="108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AB247D" w:rsidP="00AB247D">
            <w:pPr>
              <w:pStyle w:val="NormalWeb"/>
              <w:spacing w:before="0" w:beforeAutospacing="0" w:after="0" w:afterAutospacing="0"/>
              <w:jc w:val="center"/>
              <w:rPr>
                <w:rFonts w:ascii="Arial" w:hAnsi="Arial" w:cs="Arial"/>
                <w:color w:val="333333"/>
                <w:sz w:val="21"/>
                <w:szCs w:val="21"/>
              </w:rPr>
            </w:pPr>
            <w:r>
              <w:rPr>
                <w:rFonts w:ascii="Arial" w:hAnsi="Arial" w:cs="Arial"/>
                <w:color w:val="333333"/>
                <w:sz w:val="21"/>
                <w:szCs w:val="21"/>
              </w:rPr>
              <w:t>KSM</w:t>
            </w:r>
          </w:p>
        </w:tc>
        <w:tc>
          <w:tcPr>
            <w:tcW w:w="225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tcPr>
          <w:p w:rsidR="00265E5E" w:rsidRDefault="00AB247D" w:rsidP="00AB247D">
            <w:pPr>
              <w:pStyle w:val="NormalWeb"/>
              <w:spacing w:before="0" w:beforeAutospacing="0" w:after="0" w:afterAutospacing="0"/>
              <w:jc w:val="center"/>
              <w:rPr>
                <w:rFonts w:ascii="Arial" w:hAnsi="Arial" w:cs="Arial"/>
                <w:color w:val="333333"/>
                <w:sz w:val="21"/>
                <w:szCs w:val="21"/>
              </w:rPr>
            </w:pPr>
            <w:r>
              <w:rPr>
                <w:rFonts w:ascii="Arial" w:hAnsi="Arial" w:cs="Arial"/>
                <w:color w:val="333333"/>
                <w:sz w:val="21"/>
                <w:szCs w:val="21"/>
              </w:rPr>
              <w:t>Added NSF incentive restrictions, link.</w:t>
            </w:r>
          </w:p>
        </w:tc>
        <w:tc>
          <w:tcPr>
            <w:tcW w:w="207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AB247D" w:rsidP="00AB247D">
            <w:pPr>
              <w:pStyle w:val="NormalWeb"/>
              <w:spacing w:before="0" w:beforeAutospacing="0" w:after="0" w:afterAutospacing="0"/>
              <w:jc w:val="center"/>
              <w:rPr>
                <w:rFonts w:ascii="Arial" w:hAnsi="Arial" w:cs="Arial"/>
                <w:color w:val="333333"/>
                <w:sz w:val="21"/>
                <w:szCs w:val="21"/>
              </w:rPr>
            </w:pPr>
            <w:r>
              <w:rPr>
                <w:rFonts w:ascii="Arial" w:hAnsi="Arial" w:cs="Arial"/>
                <w:color w:val="333333"/>
                <w:sz w:val="21"/>
                <w:szCs w:val="21"/>
              </w:rPr>
              <w:t>Allowability</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45" w:type="dxa"/>
              <w:left w:w="60" w:type="dxa"/>
              <w:bottom w:w="45" w:type="dxa"/>
              <w:right w:w="60" w:type="dxa"/>
            </w:tcMar>
            <w:vAlign w:val="center"/>
            <w:hideMark/>
          </w:tcPr>
          <w:p w:rsidR="00265E5E" w:rsidRDefault="00AB247D" w:rsidP="00AB247D">
            <w:pPr>
              <w:pStyle w:val="NormalWeb"/>
              <w:spacing w:before="0" w:beforeAutospacing="0" w:after="0" w:afterAutospacing="0"/>
              <w:jc w:val="center"/>
              <w:rPr>
                <w:rFonts w:ascii="Arial" w:hAnsi="Arial" w:cs="Arial"/>
                <w:color w:val="333333"/>
                <w:sz w:val="21"/>
                <w:szCs w:val="21"/>
              </w:rPr>
            </w:pPr>
            <w:r>
              <w:rPr>
                <w:rFonts w:ascii="Arial" w:hAnsi="Arial" w:cs="Arial"/>
                <w:color w:val="333333"/>
                <w:sz w:val="21"/>
                <w:szCs w:val="21"/>
              </w:rPr>
              <w:t>Minor</w:t>
            </w:r>
          </w:p>
        </w:tc>
      </w:tr>
    </w:tbl>
    <w:p w:rsidR="00AB247D" w:rsidRPr="00B5354D" w:rsidRDefault="00AB247D" w:rsidP="00AB247D">
      <w:pPr>
        <w:widowControl w:val="0"/>
        <w:jc w:val="center"/>
        <w:rPr>
          <w:b/>
        </w:rPr>
      </w:pPr>
    </w:p>
    <w:sectPr w:rsidR="00AB247D" w:rsidRPr="00B5354D" w:rsidSect="00A512F0">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1005" w:rsidRDefault="00021005">
      <w:r>
        <w:separator/>
      </w:r>
    </w:p>
  </w:endnote>
  <w:endnote w:type="continuationSeparator" w:id="0">
    <w:p w:rsidR="00021005" w:rsidRDefault="000210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679B" w:rsidRDefault="007C67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499B" w:rsidRDefault="00792FB1" w:rsidP="000D6392">
    <w:pPr>
      <w:jc w:val="center"/>
    </w:pPr>
    <w:r>
      <w:fldChar w:fldCharType="begin"/>
    </w:r>
    <w:r w:rsidR="00A268DC">
      <w:instrText>PAGE</w:instrText>
    </w:r>
    <w:r>
      <w:fldChar w:fldCharType="separate"/>
    </w:r>
    <w:r w:rsidR="000B25D1">
      <w:rPr>
        <w:noProof/>
      </w:rPr>
      <w:t>2</w:t>
    </w:r>
    <w:r>
      <w:rPr>
        <w:noProof/>
      </w:rPr>
      <w:fldChar w:fldCharType="end"/>
    </w:r>
  </w:p>
  <w:p w:rsidR="009A499B" w:rsidRDefault="009A499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679B" w:rsidRDefault="007C67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1005" w:rsidRDefault="00021005">
      <w:r>
        <w:separator/>
      </w:r>
    </w:p>
  </w:footnote>
  <w:footnote w:type="continuationSeparator" w:id="0">
    <w:p w:rsidR="00021005" w:rsidRDefault="000210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679B" w:rsidRDefault="007C67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679B" w:rsidRDefault="007C679B" w:rsidP="007C679B">
    <w:pPr>
      <w:tabs>
        <w:tab w:val="center" w:pos="4680"/>
        <w:tab w:val="right" w:pos="9360"/>
      </w:tabs>
      <w:rPr>
        <w:rFonts w:ascii="Calibri" w:eastAsia="Calibri" w:hAnsi="Calibri" w:cs="Calibri"/>
        <w:sz w:val="22"/>
        <w:szCs w:val="22"/>
      </w:rPr>
    </w:pPr>
    <w:r>
      <w:rPr>
        <w:noProof/>
      </w:rPr>
      <w:drawing>
        <wp:anchor distT="0" distB="0" distL="114300" distR="114300" simplePos="0" relativeHeight="251659264" behindDoc="0" locked="0" layoutInCell="1" hidden="0" allowOverlap="1" wp14:anchorId="1EA4060B" wp14:editId="15889ABB">
          <wp:simplePos x="0" y="0"/>
          <wp:positionH relativeFrom="column">
            <wp:posOffset>1</wp:posOffset>
          </wp:positionH>
          <wp:positionV relativeFrom="paragraph">
            <wp:posOffset>-1269</wp:posOffset>
          </wp:positionV>
          <wp:extent cx="2559050" cy="772638"/>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559050" cy="772638"/>
                  </a:xfrm>
                  <a:prstGeom prst="rect">
                    <a:avLst/>
                  </a:prstGeom>
                  <a:ln/>
                </pic:spPr>
              </pic:pic>
            </a:graphicData>
          </a:graphic>
        </wp:anchor>
      </w:drawing>
    </w:r>
  </w:p>
  <w:p w:rsidR="007C679B" w:rsidRDefault="007C679B" w:rsidP="007C679B">
    <w:pPr>
      <w:tabs>
        <w:tab w:val="center" w:pos="4680"/>
        <w:tab w:val="right" w:pos="9360"/>
      </w:tabs>
      <w:jc w:val="right"/>
      <w:rPr>
        <w:rFonts w:ascii="Calibri" w:eastAsia="Calibri" w:hAnsi="Calibri" w:cs="Calibri"/>
        <w:sz w:val="14"/>
        <w:szCs w:val="14"/>
      </w:rPr>
    </w:pPr>
  </w:p>
  <w:p w:rsidR="007C679B" w:rsidRDefault="007C679B" w:rsidP="007C679B">
    <w:pPr>
      <w:tabs>
        <w:tab w:val="center" w:pos="4680"/>
        <w:tab w:val="right" w:pos="9360"/>
      </w:tabs>
      <w:jc w:val="right"/>
      <w:rPr>
        <w:sz w:val="32"/>
        <w:szCs w:val="32"/>
      </w:rPr>
    </w:pPr>
    <w:r>
      <w:rPr>
        <w:b/>
        <w:sz w:val="32"/>
        <w:szCs w:val="32"/>
      </w:rPr>
      <w:t>H</w:t>
    </w:r>
    <w:r>
      <w:rPr>
        <w:sz w:val="32"/>
        <w:szCs w:val="32"/>
      </w:rPr>
      <w:t xml:space="preserve">uman </w:t>
    </w:r>
    <w:r>
      <w:rPr>
        <w:b/>
        <w:sz w:val="32"/>
        <w:szCs w:val="32"/>
      </w:rPr>
      <w:t>S</w:t>
    </w:r>
    <w:r>
      <w:rPr>
        <w:sz w:val="32"/>
        <w:szCs w:val="32"/>
      </w:rPr>
      <w:t xml:space="preserve">ubjects </w:t>
    </w:r>
    <w:r>
      <w:rPr>
        <w:b/>
        <w:sz w:val="32"/>
        <w:szCs w:val="32"/>
      </w:rPr>
      <w:t>C</w:t>
    </w:r>
    <w:r>
      <w:rPr>
        <w:sz w:val="32"/>
        <w:szCs w:val="32"/>
      </w:rPr>
      <w:t>ommittee</w:t>
    </w:r>
  </w:p>
  <w:p w:rsidR="007C679B" w:rsidRDefault="007C679B" w:rsidP="007C679B">
    <w:pPr>
      <w:tabs>
        <w:tab w:val="center" w:pos="4680"/>
        <w:tab w:val="right" w:pos="9360"/>
      </w:tabs>
      <w:rPr>
        <w:rFonts w:ascii="Calibri" w:eastAsia="Calibri" w:hAnsi="Calibri" w:cs="Calibri"/>
        <w:sz w:val="22"/>
        <w:szCs w:val="22"/>
      </w:rPr>
    </w:pPr>
  </w:p>
  <w:p w:rsidR="00B35E98" w:rsidRDefault="00B35E98">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679B" w:rsidRDefault="007C67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266EA6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8AF42C9E"/>
    <w:lvl w:ilvl="0">
      <w:start w:val="1"/>
      <w:numFmt w:val="upperLetter"/>
      <w:lvlText w:val="%1."/>
      <w:lvlJc w:val="left"/>
      <w:pPr>
        <w:ind w:left="360" w:hanging="360"/>
      </w:pPr>
      <w:rPr>
        <w:rFonts w:ascii="Times New Roman" w:eastAsia="Times New Roman" w:hAnsi="Times New Roman" w:cs="Times New Roman"/>
        <w:b/>
        <w:bCs/>
        <w:i w:val="0"/>
        <w:iCs w:val="0"/>
        <w:strike w:val="0"/>
        <w:color w:val="000000"/>
        <w:sz w:val="28"/>
        <w:szCs w:val="28"/>
        <w:u w:val="none"/>
      </w:rPr>
    </w:lvl>
    <w:lvl w:ilvl="1">
      <w:start w:val="1"/>
      <w:numFmt w:val="lowerLetter"/>
      <w:lvlText w:val="%2."/>
      <w:lvlJc w:val="left"/>
      <w:pPr>
        <w:ind w:left="792" w:hanging="432"/>
      </w:pPr>
      <w:rPr>
        <w:b/>
        <w:bCs/>
        <w:i w:val="0"/>
        <w:iCs w:val="0"/>
        <w:strike w:val="0"/>
        <w:color w:val="000000"/>
        <w:sz w:val="24"/>
        <w:szCs w:val="24"/>
        <w:u w:val="none"/>
      </w:rPr>
    </w:lvl>
    <w:lvl w:ilvl="2">
      <w:start w:val="1"/>
      <w:numFmt w:val="lowerRoman"/>
      <w:lvlText w:val="%3."/>
      <w:lvlJc w:val="right"/>
      <w:pPr>
        <w:ind w:left="1764" w:hanging="504"/>
      </w:pPr>
      <w:rPr>
        <w:b/>
        <w:bCs/>
        <w:i w:val="0"/>
        <w:iCs w:val="0"/>
        <w:strike w:val="0"/>
        <w:color w:val="000000"/>
        <w:sz w:val="20"/>
        <w:szCs w:val="20"/>
        <w:u w:val="none"/>
      </w:rPr>
    </w:lvl>
    <w:lvl w:ilvl="3">
      <w:start w:val="1"/>
      <w:numFmt w:val="bullet"/>
      <w:lvlText w:val=""/>
      <w:lvlJc w:val="left"/>
      <w:pPr>
        <w:ind w:left="2448" w:hanging="648"/>
      </w:pPr>
      <w:rPr>
        <w:rFonts w:ascii="Symbol" w:hAnsi="Symbol" w:hint="default"/>
        <w:b/>
        <w:bCs/>
        <w:i w:val="0"/>
        <w:iCs w:val="0"/>
        <w:strike w:val="0"/>
        <w:color w:val="000000"/>
        <w:sz w:val="20"/>
        <w:szCs w:val="20"/>
        <w:u w:val="none"/>
      </w:rPr>
    </w:lvl>
    <w:lvl w:ilvl="4">
      <w:start w:val="1"/>
      <w:numFmt w:val="decimal"/>
      <w:lvlText w:val="%1.%2.%3.%4.%5."/>
      <w:lvlJc w:val="left"/>
      <w:pPr>
        <w:ind w:left="2232" w:hanging="792"/>
      </w:pPr>
      <w:rPr>
        <w:b w:val="0"/>
        <w:bCs w:val="0"/>
        <w:i w:val="0"/>
        <w:iCs w:val="0"/>
        <w:strike w:val="0"/>
        <w:color w:val="000000"/>
        <w:sz w:val="20"/>
        <w:szCs w:val="20"/>
        <w:u w:val="none"/>
      </w:rPr>
    </w:lvl>
    <w:lvl w:ilvl="5">
      <w:start w:val="1"/>
      <w:numFmt w:val="decimal"/>
      <w:lvlText w:val="%1.%2.%3.%4.%5.%6."/>
      <w:lvlJc w:val="left"/>
      <w:pPr>
        <w:ind w:left="2736" w:hanging="936"/>
      </w:pPr>
      <w:rPr>
        <w:b w:val="0"/>
        <w:bCs w:val="0"/>
        <w:i w:val="0"/>
        <w:iCs w:val="0"/>
        <w:strike w:val="0"/>
        <w:color w:val="000000"/>
        <w:sz w:val="20"/>
        <w:szCs w:val="20"/>
        <w:u w:val="none"/>
      </w:rPr>
    </w:lvl>
    <w:lvl w:ilvl="6">
      <w:start w:val="1"/>
      <w:numFmt w:val="decimal"/>
      <w:lvlText w:val="%1.%2.%3.%4.%5.%6.%7."/>
      <w:lvlJc w:val="left"/>
      <w:pPr>
        <w:ind w:left="3240" w:hanging="1080"/>
      </w:pPr>
      <w:rPr>
        <w:b w:val="0"/>
        <w:bCs w:val="0"/>
        <w:i w:val="0"/>
        <w:iCs w:val="0"/>
        <w:strike w:val="0"/>
        <w:color w:val="000000"/>
        <w:sz w:val="20"/>
        <w:szCs w:val="20"/>
        <w:u w:val="none"/>
      </w:rPr>
    </w:lvl>
    <w:lvl w:ilvl="7">
      <w:start w:val="1"/>
      <w:numFmt w:val="decimal"/>
      <w:lvlText w:val="%1.%2.%3.%4.%5.%6.%7.%8."/>
      <w:lvlJc w:val="left"/>
      <w:pPr>
        <w:ind w:left="3744" w:hanging="1224"/>
      </w:pPr>
      <w:rPr>
        <w:b w:val="0"/>
        <w:bCs w:val="0"/>
        <w:i w:val="0"/>
        <w:iCs w:val="0"/>
        <w:strike w:val="0"/>
        <w:color w:val="000000"/>
        <w:sz w:val="20"/>
        <w:szCs w:val="20"/>
        <w:u w:val="none"/>
      </w:rPr>
    </w:lvl>
    <w:lvl w:ilvl="8">
      <w:start w:val="1"/>
      <w:numFmt w:val="decimal"/>
      <w:lvlText w:val="%1.%2.%3.%4.%5.%6.%7.%8.%9."/>
      <w:lvlJc w:val="left"/>
      <w:pPr>
        <w:ind w:left="4320" w:hanging="1440"/>
      </w:pPr>
      <w:rPr>
        <w:b w:val="0"/>
        <w:bCs w:val="0"/>
        <w:i w:val="0"/>
        <w:iCs w:val="0"/>
        <w:strike w:val="0"/>
        <w:color w:val="000000"/>
        <w:sz w:val="20"/>
        <w:szCs w:val="20"/>
        <w:u w:val="none"/>
      </w:rPr>
    </w:lvl>
  </w:abstractNum>
  <w:abstractNum w:abstractNumId="2" w15:restartNumberingAfterBreak="0">
    <w:nsid w:val="014D08AD"/>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15:restartNumberingAfterBreak="0">
    <w:nsid w:val="0237233F"/>
    <w:multiLevelType w:val="hybridMultilevel"/>
    <w:tmpl w:val="88D01A44"/>
    <w:lvl w:ilvl="0" w:tplc="A05C56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5C15B88"/>
    <w:multiLevelType w:val="hybridMultilevel"/>
    <w:tmpl w:val="7E02A79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C333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9E312E6"/>
    <w:multiLevelType w:val="hybridMultilevel"/>
    <w:tmpl w:val="F7783F8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53D0C298">
      <w:numFmt w:val="bullet"/>
      <w:lvlText w:val="•"/>
      <w:lvlJc w:val="left"/>
      <w:pPr>
        <w:ind w:left="2700" w:hanging="720"/>
      </w:pPr>
      <w:rPr>
        <w:rFonts w:ascii="Times New Roman" w:eastAsia="Times New Roman" w:hAnsi="Times New Roman" w:cs="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4173B5"/>
    <w:multiLevelType w:val="hybridMultilevel"/>
    <w:tmpl w:val="506804DC"/>
    <w:lvl w:ilvl="0" w:tplc="04090017">
      <w:start w:val="1"/>
      <w:numFmt w:val="lowerLetter"/>
      <w:lvlText w:val="%1)"/>
      <w:lvlJc w:val="left"/>
      <w:pPr>
        <w:ind w:left="1080" w:hanging="360"/>
      </w:pPr>
      <w:rPr>
        <w:rFonts w:hint="default"/>
      </w:rPr>
    </w:lvl>
    <w:lvl w:ilvl="1" w:tplc="0409001B">
      <w:start w:val="1"/>
      <w:numFmt w:val="lowerRoman"/>
      <w:lvlText w:val="%2."/>
      <w:lvlJc w:val="right"/>
      <w:pPr>
        <w:ind w:left="1800" w:hanging="360"/>
      </w:pPr>
    </w:lvl>
    <w:lvl w:ilvl="2" w:tplc="04090017">
      <w:start w:val="1"/>
      <w:numFmt w:val="lowerLetter"/>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1526EAE"/>
    <w:multiLevelType w:val="multilevel"/>
    <w:tmpl w:val="164E1AA4"/>
    <w:lvl w:ilvl="0">
      <w:start w:val="1"/>
      <w:numFmt w:val="decimal"/>
      <w:lvlText w:val="%1.0"/>
      <w:lvlJc w:val="left"/>
      <w:pPr>
        <w:tabs>
          <w:tab w:val="num" w:pos="360"/>
        </w:tabs>
        <w:ind w:left="360" w:hanging="360"/>
      </w:pPr>
      <w:rPr>
        <w:rFonts w:hint="default"/>
        <w:b/>
      </w:rPr>
    </w:lvl>
    <w:lvl w:ilvl="1">
      <w:start w:val="1"/>
      <w:numFmt w:val="decimal"/>
      <w:suff w:val="space"/>
      <w:lvlText w:val="%1.%2."/>
      <w:lvlJc w:val="left"/>
      <w:pPr>
        <w:ind w:left="792" w:hanging="432"/>
      </w:pPr>
      <w:rPr>
        <w:rFonts w:hint="default"/>
        <w:b/>
        <w:sz w:val="20"/>
        <w:szCs w:val="20"/>
      </w:rPr>
    </w:lvl>
    <w:lvl w:ilvl="2">
      <w:start w:val="1"/>
      <w:numFmt w:val="decimal"/>
      <w:lvlText w:val="%1.%2.%3."/>
      <w:lvlJc w:val="left"/>
      <w:pPr>
        <w:tabs>
          <w:tab w:val="num" w:pos="1224"/>
        </w:tabs>
        <w:ind w:left="1224" w:hanging="504"/>
      </w:pPr>
      <w:rPr>
        <w:rFonts w:hint="default"/>
        <w:b/>
        <w:i w:val="0"/>
        <w:sz w:val="20"/>
        <w:szCs w:val="20"/>
      </w:rPr>
    </w:lvl>
    <w:lvl w:ilvl="3">
      <w:start w:val="1"/>
      <w:numFmt w:val="decimal"/>
      <w:lvlText w:val="%1.%2.%3.%4."/>
      <w:lvlJc w:val="left"/>
      <w:pPr>
        <w:tabs>
          <w:tab w:val="num" w:pos="1728"/>
        </w:tabs>
        <w:ind w:left="1728" w:hanging="648"/>
      </w:pPr>
      <w:rPr>
        <w:rFonts w:hint="default"/>
        <w:b/>
        <w:sz w:val="20"/>
        <w:szCs w:val="20"/>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54686327"/>
    <w:multiLevelType w:val="hybridMultilevel"/>
    <w:tmpl w:val="36FE0478"/>
    <w:lvl w:ilvl="0" w:tplc="53D0C298">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A723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AA529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BFE73D9"/>
    <w:multiLevelType w:val="hybridMultilevel"/>
    <w:tmpl w:val="16DC45D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3">
      <w:start w:val="1"/>
      <w:numFmt w:val="bullet"/>
      <w:lvlText w:val="o"/>
      <w:lvlJc w:val="left"/>
      <w:pPr>
        <w:ind w:left="3600" w:hanging="360"/>
      </w:pPr>
      <w:rPr>
        <w:rFonts w:ascii="Courier New" w:hAnsi="Courier New" w:cs="Courier New"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E7878DA"/>
    <w:multiLevelType w:val="hybridMultilevel"/>
    <w:tmpl w:val="36B66CF8"/>
    <w:lvl w:ilvl="0" w:tplc="50C85D5A">
      <w:start w:val="1"/>
      <w:numFmt w:val="decimal"/>
      <w:lvlText w:val="%1)"/>
      <w:lvlJc w:val="left"/>
      <w:pPr>
        <w:ind w:left="720" w:hanging="360"/>
      </w:pPr>
      <w:rPr>
        <w:rFonts w:hint="default"/>
        <w:b/>
      </w:rPr>
    </w:lvl>
    <w:lvl w:ilvl="1" w:tplc="BFE8DF30">
      <w:start w:val="1"/>
      <w:numFmt w:val="lowerLetter"/>
      <w:lvlText w:val="%2."/>
      <w:lvlJc w:val="left"/>
      <w:pPr>
        <w:ind w:left="1440" w:hanging="360"/>
      </w:pPr>
      <w:rPr>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07114FB"/>
    <w:multiLevelType w:val="hybridMultilevel"/>
    <w:tmpl w:val="0B866B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759354F6"/>
    <w:multiLevelType w:val="multilevel"/>
    <w:tmpl w:val="35EE75E6"/>
    <w:lvl w:ilvl="0">
      <w:start w:val="1"/>
      <w:numFmt w:val="upperLetter"/>
      <w:lvlText w:val="%1."/>
      <w:lvlJc w:val="left"/>
      <w:pPr>
        <w:ind w:left="360" w:hanging="360"/>
      </w:pPr>
      <w:rPr>
        <w:rFonts w:ascii="Times New Roman" w:eastAsia="Times New Roman" w:hAnsi="Times New Roman" w:cs="Times New Roman"/>
        <w:b/>
        <w:bCs/>
        <w:i w:val="0"/>
        <w:iCs w:val="0"/>
        <w:strike w:val="0"/>
        <w:color w:val="000000"/>
        <w:sz w:val="20"/>
        <w:szCs w:val="20"/>
        <w:u w:val="none"/>
      </w:rPr>
    </w:lvl>
    <w:lvl w:ilvl="1">
      <w:start w:val="1"/>
      <w:numFmt w:val="bullet"/>
      <w:lvlText w:val=""/>
      <w:lvlJc w:val="left"/>
      <w:pPr>
        <w:ind w:left="792" w:hanging="432"/>
      </w:pPr>
      <w:rPr>
        <w:rFonts w:ascii="Symbol" w:hAnsi="Symbol" w:hint="default"/>
        <w:b/>
        <w:bCs/>
        <w:i w:val="0"/>
        <w:iCs w:val="0"/>
        <w:strike w:val="0"/>
        <w:color w:val="000000"/>
        <w:sz w:val="20"/>
        <w:szCs w:val="20"/>
        <w:u w:val="none"/>
      </w:rPr>
    </w:lvl>
    <w:lvl w:ilvl="2">
      <w:start w:val="1"/>
      <w:numFmt w:val="decimal"/>
      <w:lvlText w:val="%1.%2.%3."/>
      <w:lvlJc w:val="left"/>
      <w:pPr>
        <w:ind w:left="1314" w:hanging="504"/>
      </w:pPr>
      <w:rPr>
        <w:b/>
        <w:bCs/>
        <w:i w:val="0"/>
        <w:iCs w:val="0"/>
        <w:strike w:val="0"/>
        <w:color w:val="000000"/>
        <w:sz w:val="20"/>
        <w:szCs w:val="20"/>
        <w:u w:val="none"/>
      </w:rPr>
    </w:lvl>
    <w:lvl w:ilvl="3">
      <w:start w:val="1"/>
      <w:numFmt w:val="decimal"/>
      <w:lvlText w:val="%1.%2.%3.%4."/>
      <w:lvlJc w:val="left"/>
      <w:pPr>
        <w:ind w:left="2448" w:hanging="648"/>
      </w:pPr>
      <w:rPr>
        <w:b/>
        <w:bCs/>
        <w:i w:val="0"/>
        <w:iCs w:val="0"/>
        <w:strike w:val="0"/>
        <w:color w:val="000000"/>
        <w:sz w:val="20"/>
        <w:szCs w:val="20"/>
        <w:u w:val="none"/>
      </w:rPr>
    </w:lvl>
    <w:lvl w:ilvl="4">
      <w:start w:val="1"/>
      <w:numFmt w:val="decimal"/>
      <w:lvlText w:val="%1.%2.%3.%4.%5."/>
      <w:lvlJc w:val="left"/>
      <w:pPr>
        <w:ind w:left="2232" w:hanging="792"/>
      </w:pPr>
      <w:rPr>
        <w:b w:val="0"/>
        <w:bCs w:val="0"/>
        <w:i w:val="0"/>
        <w:iCs w:val="0"/>
        <w:strike w:val="0"/>
        <w:color w:val="000000"/>
        <w:sz w:val="20"/>
        <w:szCs w:val="20"/>
        <w:u w:val="none"/>
      </w:rPr>
    </w:lvl>
    <w:lvl w:ilvl="5">
      <w:start w:val="1"/>
      <w:numFmt w:val="decimal"/>
      <w:lvlText w:val="%1.%2.%3.%4.%5.%6."/>
      <w:lvlJc w:val="left"/>
      <w:pPr>
        <w:ind w:left="2736" w:hanging="936"/>
      </w:pPr>
      <w:rPr>
        <w:b w:val="0"/>
        <w:bCs w:val="0"/>
        <w:i w:val="0"/>
        <w:iCs w:val="0"/>
        <w:strike w:val="0"/>
        <w:color w:val="000000"/>
        <w:sz w:val="20"/>
        <w:szCs w:val="20"/>
        <w:u w:val="none"/>
      </w:rPr>
    </w:lvl>
    <w:lvl w:ilvl="6">
      <w:start w:val="1"/>
      <w:numFmt w:val="decimal"/>
      <w:lvlText w:val="%1.%2.%3.%4.%5.%6.%7."/>
      <w:lvlJc w:val="left"/>
      <w:pPr>
        <w:ind w:left="3240" w:hanging="1080"/>
      </w:pPr>
      <w:rPr>
        <w:b w:val="0"/>
        <w:bCs w:val="0"/>
        <w:i w:val="0"/>
        <w:iCs w:val="0"/>
        <w:strike w:val="0"/>
        <w:color w:val="000000"/>
        <w:sz w:val="20"/>
        <w:szCs w:val="20"/>
        <w:u w:val="none"/>
      </w:rPr>
    </w:lvl>
    <w:lvl w:ilvl="7">
      <w:start w:val="1"/>
      <w:numFmt w:val="decimal"/>
      <w:lvlText w:val="%1.%2.%3.%4.%5.%6.%7.%8."/>
      <w:lvlJc w:val="left"/>
      <w:pPr>
        <w:ind w:left="3744" w:hanging="1224"/>
      </w:pPr>
      <w:rPr>
        <w:b w:val="0"/>
        <w:bCs w:val="0"/>
        <w:i w:val="0"/>
        <w:iCs w:val="0"/>
        <w:strike w:val="0"/>
        <w:color w:val="000000"/>
        <w:sz w:val="20"/>
        <w:szCs w:val="20"/>
        <w:u w:val="none"/>
      </w:rPr>
    </w:lvl>
    <w:lvl w:ilvl="8">
      <w:start w:val="1"/>
      <w:numFmt w:val="decimal"/>
      <w:lvlText w:val="%1.%2.%3.%4.%5.%6.%7.%8.%9."/>
      <w:lvlJc w:val="left"/>
      <w:pPr>
        <w:ind w:left="4320" w:hanging="1440"/>
      </w:pPr>
      <w:rPr>
        <w:b w:val="0"/>
        <w:bCs w:val="0"/>
        <w:i w:val="0"/>
        <w:iCs w:val="0"/>
        <w:strike w:val="0"/>
        <w:color w:val="000000"/>
        <w:sz w:val="20"/>
        <w:szCs w:val="20"/>
        <w:u w:val="none"/>
      </w:rPr>
    </w:lvl>
  </w:abstractNum>
  <w:abstractNum w:abstractNumId="16" w15:restartNumberingAfterBreak="0">
    <w:nsid w:val="77F67150"/>
    <w:multiLevelType w:val="hybridMultilevel"/>
    <w:tmpl w:val="8F9E08DA"/>
    <w:lvl w:ilvl="0" w:tplc="53D0C298">
      <w:numFmt w:val="bullet"/>
      <w:lvlText w:val="•"/>
      <w:lvlJc w:val="left"/>
      <w:pPr>
        <w:ind w:left="720" w:hanging="360"/>
      </w:pPr>
      <w:rPr>
        <w:rFonts w:ascii="Times New Roman" w:eastAsia="Times New Roman" w:hAnsi="Times New Roman" w:cs="Times New Roman"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1"/>
  </w:num>
  <w:num w:numId="4">
    <w:abstractNumId w:val="8"/>
  </w:num>
  <w:num w:numId="5">
    <w:abstractNumId w:val="10"/>
  </w:num>
  <w:num w:numId="6">
    <w:abstractNumId w:val="2"/>
  </w:num>
  <w:num w:numId="7">
    <w:abstractNumId w:val="5"/>
  </w:num>
  <w:num w:numId="8">
    <w:abstractNumId w:val="15"/>
  </w:num>
  <w:num w:numId="9">
    <w:abstractNumId w:val="13"/>
  </w:num>
  <w:num w:numId="10">
    <w:abstractNumId w:val="6"/>
  </w:num>
  <w:num w:numId="11">
    <w:abstractNumId w:val="14"/>
  </w:num>
  <w:num w:numId="12">
    <w:abstractNumId w:val="12"/>
  </w:num>
  <w:num w:numId="13">
    <w:abstractNumId w:val="4"/>
  </w:num>
  <w:num w:numId="14">
    <w:abstractNumId w:val="9"/>
  </w:num>
  <w:num w:numId="15">
    <w:abstractNumId w:val="3"/>
  </w:num>
  <w:num w:numId="16">
    <w:abstractNumId w:val="7"/>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119D"/>
    <w:rsid w:val="00001940"/>
    <w:rsid w:val="00006A12"/>
    <w:rsid w:val="0000792C"/>
    <w:rsid w:val="00021005"/>
    <w:rsid w:val="00032C7C"/>
    <w:rsid w:val="00046125"/>
    <w:rsid w:val="0005603D"/>
    <w:rsid w:val="000610F7"/>
    <w:rsid w:val="00064BF5"/>
    <w:rsid w:val="0006610B"/>
    <w:rsid w:val="000712F6"/>
    <w:rsid w:val="00071D55"/>
    <w:rsid w:val="00073B39"/>
    <w:rsid w:val="00074492"/>
    <w:rsid w:val="000814A4"/>
    <w:rsid w:val="00085BEC"/>
    <w:rsid w:val="0009142E"/>
    <w:rsid w:val="000B25D1"/>
    <w:rsid w:val="000B36AF"/>
    <w:rsid w:val="000B449E"/>
    <w:rsid w:val="000B4F27"/>
    <w:rsid w:val="000C5385"/>
    <w:rsid w:val="000D155E"/>
    <w:rsid w:val="000D6392"/>
    <w:rsid w:val="000E14AD"/>
    <w:rsid w:val="000E7C74"/>
    <w:rsid w:val="000F600A"/>
    <w:rsid w:val="000F7B02"/>
    <w:rsid w:val="00105B5C"/>
    <w:rsid w:val="00116100"/>
    <w:rsid w:val="0013000B"/>
    <w:rsid w:val="0013653E"/>
    <w:rsid w:val="001505A5"/>
    <w:rsid w:val="00150E9C"/>
    <w:rsid w:val="0016537C"/>
    <w:rsid w:val="00176116"/>
    <w:rsid w:val="0018375E"/>
    <w:rsid w:val="001977E6"/>
    <w:rsid w:val="001A067F"/>
    <w:rsid w:val="001A4764"/>
    <w:rsid w:val="001B0012"/>
    <w:rsid w:val="001B0CA9"/>
    <w:rsid w:val="001B2A81"/>
    <w:rsid w:val="001C4E32"/>
    <w:rsid w:val="001C7D87"/>
    <w:rsid w:val="00202897"/>
    <w:rsid w:val="00207397"/>
    <w:rsid w:val="00207863"/>
    <w:rsid w:val="002111FA"/>
    <w:rsid w:val="00215419"/>
    <w:rsid w:val="00223869"/>
    <w:rsid w:val="002325CF"/>
    <w:rsid w:val="00232671"/>
    <w:rsid w:val="00241FC9"/>
    <w:rsid w:val="0024309C"/>
    <w:rsid w:val="0024364D"/>
    <w:rsid w:val="00253412"/>
    <w:rsid w:val="00253C1C"/>
    <w:rsid w:val="00256E68"/>
    <w:rsid w:val="002571AE"/>
    <w:rsid w:val="002606F8"/>
    <w:rsid w:val="00265E5E"/>
    <w:rsid w:val="00271BDD"/>
    <w:rsid w:val="00271E91"/>
    <w:rsid w:val="00273031"/>
    <w:rsid w:val="00282710"/>
    <w:rsid w:val="00283480"/>
    <w:rsid w:val="002876A8"/>
    <w:rsid w:val="00291D7D"/>
    <w:rsid w:val="00293294"/>
    <w:rsid w:val="002A741E"/>
    <w:rsid w:val="002B27F2"/>
    <w:rsid w:val="002D1C26"/>
    <w:rsid w:val="002D2840"/>
    <w:rsid w:val="002D75C1"/>
    <w:rsid w:val="002E63C0"/>
    <w:rsid w:val="002E7016"/>
    <w:rsid w:val="002E77EB"/>
    <w:rsid w:val="002E7F54"/>
    <w:rsid w:val="002F5D42"/>
    <w:rsid w:val="0033779F"/>
    <w:rsid w:val="0034427C"/>
    <w:rsid w:val="003500CD"/>
    <w:rsid w:val="0035472C"/>
    <w:rsid w:val="00360986"/>
    <w:rsid w:val="00362FAC"/>
    <w:rsid w:val="00363436"/>
    <w:rsid w:val="00365A56"/>
    <w:rsid w:val="00376CE7"/>
    <w:rsid w:val="00380E5F"/>
    <w:rsid w:val="003810B9"/>
    <w:rsid w:val="003849A9"/>
    <w:rsid w:val="003A0DDD"/>
    <w:rsid w:val="003A457D"/>
    <w:rsid w:val="003B4A61"/>
    <w:rsid w:val="003B79F3"/>
    <w:rsid w:val="003D2030"/>
    <w:rsid w:val="003D2F5C"/>
    <w:rsid w:val="003D66A5"/>
    <w:rsid w:val="003E78FD"/>
    <w:rsid w:val="003F1A4E"/>
    <w:rsid w:val="00403BB6"/>
    <w:rsid w:val="00405FD5"/>
    <w:rsid w:val="00406F76"/>
    <w:rsid w:val="00411D4A"/>
    <w:rsid w:val="00423C30"/>
    <w:rsid w:val="004255CC"/>
    <w:rsid w:val="00431682"/>
    <w:rsid w:val="004502D5"/>
    <w:rsid w:val="00455C9B"/>
    <w:rsid w:val="004630C9"/>
    <w:rsid w:val="004701FD"/>
    <w:rsid w:val="0047128C"/>
    <w:rsid w:val="00482A9C"/>
    <w:rsid w:val="004870CE"/>
    <w:rsid w:val="004903EF"/>
    <w:rsid w:val="00494BA4"/>
    <w:rsid w:val="00495F55"/>
    <w:rsid w:val="004A2724"/>
    <w:rsid w:val="004A2DED"/>
    <w:rsid w:val="004C23D7"/>
    <w:rsid w:val="004E4565"/>
    <w:rsid w:val="004F1D89"/>
    <w:rsid w:val="004F73B5"/>
    <w:rsid w:val="004F7738"/>
    <w:rsid w:val="0050305E"/>
    <w:rsid w:val="00504080"/>
    <w:rsid w:val="00507221"/>
    <w:rsid w:val="00513C6E"/>
    <w:rsid w:val="0052002C"/>
    <w:rsid w:val="00536170"/>
    <w:rsid w:val="005375F8"/>
    <w:rsid w:val="00540E96"/>
    <w:rsid w:val="005460C4"/>
    <w:rsid w:val="00562249"/>
    <w:rsid w:val="00570CDC"/>
    <w:rsid w:val="00573741"/>
    <w:rsid w:val="00574CAA"/>
    <w:rsid w:val="00576F6F"/>
    <w:rsid w:val="00592F86"/>
    <w:rsid w:val="00596056"/>
    <w:rsid w:val="005A3D72"/>
    <w:rsid w:val="005A5140"/>
    <w:rsid w:val="005A6FC1"/>
    <w:rsid w:val="005C3D65"/>
    <w:rsid w:val="005C5336"/>
    <w:rsid w:val="005D458E"/>
    <w:rsid w:val="005E13C0"/>
    <w:rsid w:val="005E5153"/>
    <w:rsid w:val="005F009C"/>
    <w:rsid w:val="005F087A"/>
    <w:rsid w:val="005F3A48"/>
    <w:rsid w:val="00604C50"/>
    <w:rsid w:val="00607F81"/>
    <w:rsid w:val="006119C1"/>
    <w:rsid w:val="00611E56"/>
    <w:rsid w:val="0061435D"/>
    <w:rsid w:val="00616CE7"/>
    <w:rsid w:val="00627C3D"/>
    <w:rsid w:val="00631711"/>
    <w:rsid w:val="00632B1F"/>
    <w:rsid w:val="006338D2"/>
    <w:rsid w:val="00636AB1"/>
    <w:rsid w:val="00636AF8"/>
    <w:rsid w:val="00637BA8"/>
    <w:rsid w:val="006411B5"/>
    <w:rsid w:val="00646D1E"/>
    <w:rsid w:val="0065091B"/>
    <w:rsid w:val="00650989"/>
    <w:rsid w:val="006600CD"/>
    <w:rsid w:val="006651F5"/>
    <w:rsid w:val="006673CC"/>
    <w:rsid w:val="00671551"/>
    <w:rsid w:val="006718B9"/>
    <w:rsid w:val="0067456D"/>
    <w:rsid w:val="006768F5"/>
    <w:rsid w:val="0069028A"/>
    <w:rsid w:val="006939A3"/>
    <w:rsid w:val="006A2D17"/>
    <w:rsid w:val="006A61C7"/>
    <w:rsid w:val="006B0221"/>
    <w:rsid w:val="006B3EF3"/>
    <w:rsid w:val="006B4127"/>
    <w:rsid w:val="006C140F"/>
    <w:rsid w:val="006C23BB"/>
    <w:rsid w:val="006C6C99"/>
    <w:rsid w:val="006D00BB"/>
    <w:rsid w:val="006D036B"/>
    <w:rsid w:val="006F5744"/>
    <w:rsid w:val="0070176B"/>
    <w:rsid w:val="00704218"/>
    <w:rsid w:val="007215CB"/>
    <w:rsid w:val="00725B4E"/>
    <w:rsid w:val="00730A37"/>
    <w:rsid w:val="00737BC2"/>
    <w:rsid w:val="00750B01"/>
    <w:rsid w:val="007562B1"/>
    <w:rsid w:val="00773E03"/>
    <w:rsid w:val="00792FB1"/>
    <w:rsid w:val="007A4F57"/>
    <w:rsid w:val="007B0F6B"/>
    <w:rsid w:val="007B7D1C"/>
    <w:rsid w:val="007C46E2"/>
    <w:rsid w:val="007C50CB"/>
    <w:rsid w:val="007C679B"/>
    <w:rsid w:val="007D0A87"/>
    <w:rsid w:val="007D65BE"/>
    <w:rsid w:val="007D7390"/>
    <w:rsid w:val="007E2077"/>
    <w:rsid w:val="007E35E7"/>
    <w:rsid w:val="007E7E95"/>
    <w:rsid w:val="007F42BB"/>
    <w:rsid w:val="007F6450"/>
    <w:rsid w:val="00800090"/>
    <w:rsid w:val="00805E53"/>
    <w:rsid w:val="0082530A"/>
    <w:rsid w:val="00830FF2"/>
    <w:rsid w:val="008366A8"/>
    <w:rsid w:val="00837208"/>
    <w:rsid w:val="00842EBC"/>
    <w:rsid w:val="00842F13"/>
    <w:rsid w:val="00843277"/>
    <w:rsid w:val="00843DBB"/>
    <w:rsid w:val="00845203"/>
    <w:rsid w:val="0084580D"/>
    <w:rsid w:val="00850A4D"/>
    <w:rsid w:val="00853957"/>
    <w:rsid w:val="0085715B"/>
    <w:rsid w:val="008603D4"/>
    <w:rsid w:val="00864ADB"/>
    <w:rsid w:val="008741A5"/>
    <w:rsid w:val="00895DA0"/>
    <w:rsid w:val="008B2375"/>
    <w:rsid w:val="008B4F3C"/>
    <w:rsid w:val="008C0DDB"/>
    <w:rsid w:val="008C18E8"/>
    <w:rsid w:val="008C35BF"/>
    <w:rsid w:val="008C5582"/>
    <w:rsid w:val="008C7ACE"/>
    <w:rsid w:val="008D0686"/>
    <w:rsid w:val="008D7400"/>
    <w:rsid w:val="00905DFA"/>
    <w:rsid w:val="00911540"/>
    <w:rsid w:val="00922BF2"/>
    <w:rsid w:val="009457DF"/>
    <w:rsid w:val="009520B3"/>
    <w:rsid w:val="00967680"/>
    <w:rsid w:val="00970BEA"/>
    <w:rsid w:val="00974211"/>
    <w:rsid w:val="00977DF6"/>
    <w:rsid w:val="0098008B"/>
    <w:rsid w:val="00984202"/>
    <w:rsid w:val="009911CC"/>
    <w:rsid w:val="009943B7"/>
    <w:rsid w:val="009A499B"/>
    <w:rsid w:val="009B7833"/>
    <w:rsid w:val="009C05D7"/>
    <w:rsid w:val="009C5E38"/>
    <w:rsid w:val="009C78C5"/>
    <w:rsid w:val="009E0B6A"/>
    <w:rsid w:val="009F1D28"/>
    <w:rsid w:val="009F548B"/>
    <w:rsid w:val="00A000FE"/>
    <w:rsid w:val="00A02763"/>
    <w:rsid w:val="00A10910"/>
    <w:rsid w:val="00A1455A"/>
    <w:rsid w:val="00A225D3"/>
    <w:rsid w:val="00A238A8"/>
    <w:rsid w:val="00A25FA1"/>
    <w:rsid w:val="00A268D8"/>
    <w:rsid w:val="00A268DC"/>
    <w:rsid w:val="00A43020"/>
    <w:rsid w:val="00A43075"/>
    <w:rsid w:val="00A4699D"/>
    <w:rsid w:val="00A46F9F"/>
    <w:rsid w:val="00A512F0"/>
    <w:rsid w:val="00A52344"/>
    <w:rsid w:val="00A5433A"/>
    <w:rsid w:val="00A63A72"/>
    <w:rsid w:val="00A72A8B"/>
    <w:rsid w:val="00A77B3E"/>
    <w:rsid w:val="00A9478E"/>
    <w:rsid w:val="00AB0353"/>
    <w:rsid w:val="00AB0D43"/>
    <w:rsid w:val="00AB247D"/>
    <w:rsid w:val="00AB3524"/>
    <w:rsid w:val="00AB66EB"/>
    <w:rsid w:val="00AC3D35"/>
    <w:rsid w:val="00AC4400"/>
    <w:rsid w:val="00AC448E"/>
    <w:rsid w:val="00AC613C"/>
    <w:rsid w:val="00AD7A09"/>
    <w:rsid w:val="00AE0BA2"/>
    <w:rsid w:val="00AE229E"/>
    <w:rsid w:val="00AE29A4"/>
    <w:rsid w:val="00AE3FB6"/>
    <w:rsid w:val="00AE714A"/>
    <w:rsid w:val="00B0325E"/>
    <w:rsid w:val="00B05C53"/>
    <w:rsid w:val="00B05E40"/>
    <w:rsid w:val="00B16BF8"/>
    <w:rsid w:val="00B24338"/>
    <w:rsid w:val="00B30EC3"/>
    <w:rsid w:val="00B31F22"/>
    <w:rsid w:val="00B3289C"/>
    <w:rsid w:val="00B3410C"/>
    <w:rsid w:val="00B34CB8"/>
    <w:rsid w:val="00B35E98"/>
    <w:rsid w:val="00B36A78"/>
    <w:rsid w:val="00B42B93"/>
    <w:rsid w:val="00B439BE"/>
    <w:rsid w:val="00B44021"/>
    <w:rsid w:val="00B5354D"/>
    <w:rsid w:val="00B61FC7"/>
    <w:rsid w:val="00B6281C"/>
    <w:rsid w:val="00B666C0"/>
    <w:rsid w:val="00B67544"/>
    <w:rsid w:val="00B7367A"/>
    <w:rsid w:val="00B74014"/>
    <w:rsid w:val="00B8358B"/>
    <w:rsid w:val="00B84F5C"/>
    <w:rsid w:val="00B92619"/>
    <w:rsid w:val="00B96948"/>
    <w:rsid w:val="00BA5253"/>
    <w:rsid w:val="00BB1097"/>
    <w:rsid w:val="00BB47C3"/>
    <w:rsid w:val="00BC2694"/>
    <w:rsid w:val="00BC42D7"/>
    <w:rsid w:val="00BD5BDC"/>
    <w:rsid w:val="00BE13D5"/>
    <w:rsid w:val="00BE7C30"/>
    <w:rsid w:val="00BF02BA"/>
    <w:rsid w:val="00C04A24"/>
    <w:rsid w:val="00C12B4F"/>
    <w:rsid w:val="00C14A44"/>
    <w:rsid w:val="00C162B6"/>
    <w:rsid w:val="00C16977"/>
    <w:rsid w:val="00C304FD"/>
    <w:rsid w:val="00C47131"/>
    <w:rsid w:val="00C65EEE"/>
    <w:rsid w:val="00C6641C"/>
    <w:rsid w:val="00C67CF5"/>
    <w:rsid w:val="00C70093"/>
    <w:rsid w:val="00C779AC"/>
    <w:rsid w:val="00C86106"/>
    <w:rsid w:val="00CC4605"/>
    <w:rsid w:val="00CC5D6A"/>
    <w:rsid w:val="00CD1A7B"/>
    <w:rsid w:val="00CD5C87"/>
    <w:rsid w:val="00CE0593"/>
    <w:rsid w:val="00CE236B"/>
    <w:rsid w:val="00CE64AC"/>
    <w:rsid w:val="00CF2203"/>
    <w:rsid w:val="00D02084"/>
    <w:rsid w:val="00D069E0"/>
    <w:rsid w:val="00D07981"/>
    <w:rsid w:val="00D079A0"/>
    <w:rsid w:val="00D1028A"/>
    <w:rsid w:val="00D11B74"/>
    <w:rsid w:val="00D13B4F"/>
    <w:rsid w:val="00D152B4"/>
    <w:rsid w:val="00D16BD2"/>
    <w:rsid w:val="00D17381"/>
    <w:rsid w:val="00D240C6"/>
    <w:rsid w:val="00D37832"/>
    <w:rsid w:val="00D620F1"/>
    <w:rsid w:val="00D6281A"/>
    <w:rsid w:val="00D633AD"/>
    <w:rsid w:val="00D64B15"/>
    <w:rsid w:val="00D6549D"/>
    <w:rsid w:val="00D65AE3"/>
    <w:rsid w:val="00D71FE4"/>
    <w:rsid w:val="00D739F9"/>
    <w:rsid w:val="00D74D47"/>
    <w:rsid w:val="00D8162C"/>
    <w:rsid w:val="00D8377F"/>
    <w:rsid w:val="00D963EC"/>
    <w:rsid w:val="00DB27ED"/>
    <w:rsid w:val="00DC6926"/>
    <w:rsid w:val="00DE408E"/>
    <w:rsid w:val="00DF00FF"/>
    <w:rsid w:val="00DF1F9E"/>
    <w:rsid w:val="00DF57CE"/>
    <w:rsid w:val="00E179BC"/>
    <w:rsid w:val="00E32964"/>
    <w:rsid w:val="00E373D4"/>
    <w:rsid w:val="00E645CB"/>
    <w:rsid w:val="00E6620B"/>
    <w:rsid w:val="00E66697"/>
    <w:rsid w:val="00E706D9"/>
    <w:rsid w:val="00E80441"/>
    <w:rsid w:val="00E83127"/>
    <w:rsid w:val="00E918B6"/>
    <w:rsid w:val="00EA144D"/>
    <w:rsid w:val="00EA7CD7"/>
    <w:rsid w:val="00EB0628"/>
    <w:rsid w:val="00EB4B09"/>
    <w:rsid w:val="00EB50D7"/>
    <w:rsid w:val="00EE45EF"/>
    <w:rsid w:val="00EE658F"/>
    <w:rsid w:val="00EF2C3E"/>
    <w:rsid w:val="00EF7DFC"/>
    <w:rsid w:val="00F07C2E"/>
    <w:rsid w:val="00F10EE7"/>
    <w:rsid w:val="00F1454A"/>
    <w:rsid w:val="00F1665C"/>
    <w:rsid w:val="00F47ACD"/>
    <w:rsid w:val="00F50A44"/>
    <w:rsid w:val="00F54BB5"/>
    <w:rsid w:val="00F611EC"/>
    <w:rsid w:val="00F730BA"/>
    <w:rsid w:val="00F8031D"/>
    <w:rsid w:val="00F90B01"/>
    <w:rsid w:val="00F911CE"/>
    <w:rsid w:val="00F96516"/>
    <w:rsid w:val="00F96E3A"/>
    <w:rsid w:val="00F97B31"/>
    <w:rsid w:val="00FA0F61"/>
    <w:rsid w:val="00FA19FC"/>
    <w:rsid w:val="00FA795C"/>
    <w:rsid w:val="00FB0725"/>
    <w:rsid w:val="00FB12E8"/>
    <w:rsid w:val="00FB1493"/>
    <w:rsid w:val="00FB6473"/>
    <w:rsid w:val="00FB7B18"/>
    <w:rsid w:val="00FD24D9"/>
    <w:rsid w:val="00FE62B6"/>
    <w:rsid w:val="00FF0B64"/>
    <w:rsid w:val="00FF34CB"/>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4A4BD65"/>
  <w15:chartTrackingRefBased/>
  <w15:docId w15:val="{9944A6BB-99D2-4828-AF99-E3610A5C6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92FB1"/>
    <w:rPr>
      <w:color w:val="000000"/>
      <w:sz w:val="24"/>
      <w:szCs w:val="24"/>
    </w:rPr>
  </w:style>
  <w:style w:type="paragraph" w:styleId="Heading1">
    <w:name w:val="heading 1"/>
    <w:basedOn w:val="Normal"/>
    <w:next w:val="Normal"/>
    <w:qFormat/>
    <w:rsid w:val="00EF7B96"/>
    <w:pPr>
      <w:spacing w:before="240" w:after="60"/>
      <w:outlineLvl w:val="0"/>
    </w:pPr>
    <w:rPr>
      <w:rFonts w:ascii="Arial" w:eastAsia="Arial" w:hAnsi="Arial" w:cs="Arial"/>
      <w:b/>
      <w:bCs/>
      <w:sz w:val="32"/>
      <w:szCs w:val="32"/>
    </w:rPr>
  </w:style>
  <w:style w:type="paragraph" w:styleId="Heading2">
    <w:name w:val="heading 2"/>
    <w:basedOn w:val="Normal"/>
    <w:next w:val="Normal"/>
    <w:qFormat/>
    <w:rsid w:val="00EF7B96"/>
    <w:pPr>
      <w:spacing w:before="240" w:after="60"/>
      <w:outlineLvl w:val="1"/>
    </w:pPr>
    <w:rPr>
      <w:rFonts w:ascii="Arial" w:eastAsia="Arial" w:hAnsi="Arial" w:cs="Arial"/>
      <w:b/>
      <w:bCs/>
      <w:i/>
      <w:iCs/>
      <w:sz w:val="28"/>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EF7B96"/>
    <w:pPr>
      <w:spacing w:before="240" w:after="60"/>
      <w:jc w:val="center"/>
    </w:pPr>
    <w:rPr>
      <w:rFonts w:ascii="Arial" w:eastAsia="Arial" w:hAnsi="Arial" w:cs="Arial"/>
      <w:b/>
      <w:bCs/>
      <w:sz w:val="32"/>
      <w:szCs w:val="32"/>
    </w:rPr>
  </w:style>
  <w:style w:type="paragraph" w:styleId="Subtitle">
    <w:name w:val="Subtitle"/>
    <w:basedOn w:val="Normal"/>
    <w:qFormat/>
    <w:rsid w:val="00EF7B96"/>
    <w:pPr>
      <w:spacing w:after="60"/>
      <w:jc w:val="center"/>
    </w:pPr>
    <w:rPr>
      <w:rFonts w:ascii="Arial" w:eastAsia="Arial" w:hAnsi="Arial" w:cs="Arial"/>
    </w:rPr>
  </w:style>
  <w:style w:type="character" w:styleId="CommentReference">
    <w:name w:val="annotation reference"/>
    <w:rsid w:val="00805BCE"/>
    <w:rPr>
      <w:sz w:val="16"/>
      <w:szCs w:val="16"/>
    </w:rPr>
  </w:style>
  <w:style w:type="paragraph" w:styleId="BalloonText">
    <w:name w:val="Balloon Text"/>
    <w:basedOn w:val="Normal"/>
    <w:link w:val="BalloonTextChar"/>
    <w:rsid w:val="002876A8"/>
    <w:rPr>
      <w:rFonts w:ascii="Tahoma" w:hAnsi="Tahoma"/>
      <w:sz w:val="16"/>
      <w:szCs w:val="16"/>
      <w:lang w:val="x-none" w:eastAsia="x-none"/>
    </w:rPr>
  </w:style>
  <w:style w:type="character" w:customStyle="1" w:styleId="BalloonTextChar">
    <w:name w:val="Balloon Text Char"/>
    <w:link w:val="BalloonText"/>
    <w:rsid w:val="002876A8"/>
    <w:rPr>
      <w:rFonts w:ascii="Tahoma" w:hAnsi="Tahoma" w:cs="Tahoma"/>
      <w:color w:val="000000"/>
      <w:sz w:val="16"/>
      <w:szCs w:val="16"/>
    </w:rPr>
  </w:style>
  <w:style w:type="paragraph" w:customStyle="1" w:styleId="ColorfulList-Accent11">
    <w:name w:val="Colorful List - Accent 11"/>
    <w:basedOn w:val="Normal"/>
    <w:uiPriority w:val="34"/>
    <w:qFormat/>
    <w:rsid w:val="00805E53"/>
    <w:pPr>
      <w:ind w:left="720"/>
    </w:pPr>
  </w:style>
  <w:style w:type="paragraph" w:customStyle="1" w:styleId="ColorfulShading-Accent11">
    <w:name w:val="Colorful Shading - Accent 11"/>
    <w:hidden/>
    <w:uiPriority w:val="99"/>
    <w:semiHidden/>
    <w:rsid w:val="00E32964"/>
    <w:rPr>
      <w:color w:val="000000"/>
      <w:sz w:val="24"/>
      <w:szCs w:val="24"/>
    </w:rPr>
  </w:style>
  <w:style w:type="paragraph" w:styleId="CommentText">
    <w:name w:val="annotation text"/>
    <w:basedOn w:val="Normal"/>
    <w:link w:val="CommentTextChar"/>
    <w:rsid w:val="00283480"/>
    <w:rPr>
      <w:lang w:val="x-none" w:eastAsia="x-none"/>
    </w:rPr>
  </w:style>
  <w:style w:type="character" w:customStyle="1" w:styleId="CommentTextChar">
    <w:name w:val="Comment Text Char"/>
    <w:link w:val="CommentText"/>
    <w:rsid w:val="005A6FC1"/>
    <w:rPr>
      <w:color w:val="000000"/>
      <w:sz w:val="24"/>
      <w:szCs w:val="24"/>
    </w:rPr>
  </w:style>
  <w:style w:type="paragraph" w:styleId="CommentSubject">
    <w:name w:val="annotation subject"/>
    <w:basedOn w:val="CommentText"/>
    <w:next w:val="CommentText"/>
    <w:link w:val="CommentSubjectChar"/>
    <w:rsid w:val="005A6FC1"/>
    <w:rPr>
      <w:b/>
      <w:bCs/>
    </w:rPr>
  </w:style>
  <w:style w:type="character" w:customStyle="1" w:styleId="CommentSubjectChar">
    <w:name w:val="Comment Subject Char"/>
    <w:link w:val="CommentSubject"/>
    <w:rsid w:val="005A6FC1"/>
    <w:rPr>
      <w:b/>
      <w:bCs/>
      <w:color w:val="000000"/>
      <w:sz w:val="24"/>
      <w:szCs w:val="24"/>
    </w:rPr>
  </w:style>
  <w:style w:type="paragraph" w:styleId="ListParagraph">
    <w:name w:val="List Paragraph"/>
    <w:basedOn w:val="Normal"/>
    <w:uiPriority w:val="34"/>
    <w:qFormat/>
    <w:rsid w:val="00283480"/>
    <w:pPr>
      <w:ind w:left="720"/>
    </w:pPr>
  </w:style>
  <w:style w:type="paragraph" w:styleId="Revision">
    <w:name w:val="Revision"/>
    <w:hidden/>
    <w:uiPriority w:val="99"/>
    <w:semiHidden/>
    <w:rsid w:val="00283480"/>
    <w:rPr>
      <w:color w:val="000000"/>
      <w:sz w:val="24"/>
      <w:szCs w:val="24"/>
    </w:rPr>
  </w:style>
  <w:style w:type="paragraph" w:styleId="Header">
    <w:name w:val="header"/>
    <w:basedOn w:val="Normal"/>
    <w:link w:val="HeaderChar"/>
    <w:rsid w:val="00283480"/>
    <w:pPr>
      <w:tabs>
        <w:tab w:val="center" w:pos="4680"/>
        <w:tab w:val="right" w:pos="9360"/>
      </w:tabs>
    </w:pPr>
    <w:rPr>
      <w:lang w:val="x-none" w:eastAsia="x-none"/>
    </w:rPr>
  </w:style>
  <w:style w:type="character" w:customStyle="1" w:styleId="HeaderChar">
    <w:name w:val="Header Char"/>
    <w:link w:val="Header"/>
    <w:rsid w:val="00283480"/>
    <w:rPr>
      <w:color w:val="000000"/>
      <w:sz w:val="24"/>
      <w:szCs w:val="24"/>
    </w:rPr>
  </w:style>
  <w:style w:type="character" w:styleId="Strong">
    <w:name w:val="Strong"/>
    <w:uiPriority w:val="22"/>
    <w:qFormat/>
    <w:rsid w:val="00B44021"/>
    <w:rPr>
      <w:b/>
      <w:bCs/>
    </w:rPr>
  </w:style>
  <w:style w:type="paragraph" w:styleId="Footer">
    <w:name w:val="footer"/>
    <w:basedOn w:val="Normal"/>
    <w:link w:val="FooterChar"/>
    <w:rsid w:val="00C65EEE"/>
    <w:pPr>
      <w:tabs>
        <w:tab w:val="center" w:pos="4680"/>
        <w:tab w:val="right" w:pos="9360"/>
      </w:tabs>
    </w:pPr>
  </w:style>
  <w:style w:type="character" w:customStyle="1" w:styleId="FooterChar">
    <w:name w:val="Footer Char"/>
    <w:link w:val="Footer"/>
    <w:rsid w:val="00C65EEE"/>
    <w:rPr>
      <w:color w:val="000000"/>
      <w:sz w:val="24"/>
      <w:szCs w:val="24"/>
    </w:rPr>
  </w:style>
  <w:style w:type="paragraph" w:styleId="BodyTextIndent">
    <w:name w:val="Body Text Indent"/>
    <w:basedOn w:val="Normal"/>
    <w:link w:val="BodyTextIndentChar"/>
    <w:rsid w:val="007D0A87"/>
    <w:pPr>
      <w:ind w:left="360" w:hanging="360"/>
    </w:pPr>
    <w:rPr>
      <w:rFonts w:ascii="Times" w:hAnsi="Times"/>
      <w:color w:val="auto"/>
      <w:szCs w:val="20"/>
    </w:rPr>
  </w:style>
  <w:style w:type="character" w:customStyle="1" w:styleId="BodyTextIndentChar">
    <w:name w:val="Body Text Indent Char"/>
    <w:link w:val="BodyTextIndent"/>
    <w:rsid w:val="007D0A87"/>
    <w:rPr>
      <w:rFonts w:ascii="Times" w:hAnsi="Times"/>
      <w:sz w:val="24"/>
    </w:rPr>
  </w:style>
  <w:style w:type="table" w:styleId="TableGrid">
    <w:name w:val="Table Grid"/>
    <w:basedOn w:val="TableNormal"/>
    <w:rsid w:val="000661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265E5E"/>
    <w:rPr>
      <w:color w:val="0563C1" w:themeColor="hyperlink"/>
      <w:u w:val="single"/>
    </w:rPr>
  </w:style>
  <w:style w:type="character" w:styleId="UnresolvedMention">
    <w:name w:val="Unresolved Mention"/>
    <w:basedOn w:val="DefaultParagraphFont"/>
    <w:uiPriority w:val="99"/>
    <w:semiHidden/>
    <w:unhideWhenUsed/>
    <w:rsid w:val="00265E5E"/>
    <w:rPr>
      <w:color w:val="605E5C"/>
      <w:shd w:val="clear" w:color="auto" w:fill="E1DFDD"/>
    </w:rPr>
  </w:style>
  <w:style w:type="paragraph" w:styleId="NormalWeb">
    <w:name w:val="Normal (Web)"/>
    <w:basedOn w:val="Normal"/>
    <w:uiPriority w:val="99"/>
    <w:unhideWhenUsed/>
    <w:rsid w:val="00265E5E"/>
    <w:pPr>
      <w:spacing w:before="100" w:beforeAutospacing="1" w:after="100" w:afterAutospacing="1"/>
    </w:pPr>
    <w:rPr>
      <w:color w:val="auto"/>
    </w:rPr>
  </w:style>
  <w:style w:type="character" w:styleId="FollowedHyperlink">
    <w:name w:val="FollowedHyperlink"/>
    <w:basedOn w:val="DefaultParagraphFont"/>
    <w:rsid w:val="00604C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5437896">
      <w:bodyDiv w:val="1"/>
      <w:marLeft w:val="0"/>
      <w:marRight w:val="0"/>
      <w:marTop w:val="0"/>
      <w:marBottom w:val="0"/>
      <w:divBdr>
        <w:top w:val="none" w:sz="0" w:space="0" w:color="auto"/>
        <w:left w:val="none" w:sz="0" w:space="0" w:color="auto"/>
        <w:bottom w:val="none" w:sz="0" w:space="0" w:color="auto"/>
        <w:right w:val="none" w:sz="0" w:space="0" w:color="auto"/>
      </w:divBdr>
    </w:div>
    <w:div w:id="1805535514">
      <w:bodyDiv w:val="1"/>
      <w:marLeft w:val="0"/>
      <w:marRight w:val="0"/>
      <w:marTop w:val="0"/>
      <w:marBottom w:val="0"/>
      <w:divBdr>
        <w:top w:val="none" w:sz="0" w:space="0" w:color="auto"/>
        <w:left w:val="none" w:sz="0" w:space="0" w:color="auto"/>
        <w:bottom w:val="none" w:sz="0" w:space="0" w:color="auto"/>
        <w:right w:val="none" w:sz="0" w:space="0" w:color="auto"/>
      </w:divBdr>
    </w:div>
    <w:div w:id="19263316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help@lbl.gov" TargetMode="External"/><Relationship Id="rId13" Type="http://schemas.openxmlformats.org/officeDocument/2006/relationships/hyperlink" Target="https://procurement.lbl.gov/welcome-to-procurement-property/forms/"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www.nsf.gov/bfa/dias/caar/docs/factsheet_participant.pdf" TargetMode="External"/><Relationship Id="rId12" Type="http://schemas.openxmlformats.org/officeDocument/2006/relationships/hyperlink" Target="https://procurement.lbl.gov/welcome-to-procurement-property/make-a-purchase/eprocurement-2/customer-guides/"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rocurement.lbl.gov/welcome-to-procurement-property/make-a-purchase/eprocurement-2/customer-guides/" TargetMode="External"/><Relationship Id="rId5" Type="http://schemas.openxmlformats.org/officeDocument/2006/relationships/footnotes" Target="footnotes.xml"/><Relationship Id="rId15" Type="http://schemas.openxmlformats.org/officeDocument/2006/relationships/hyperlink" Target="mailto:HARC@lbl.gov" TargetMode="External"/><Relationship Id="rId23" Type="http://schemas.openxmlformats.org/officeDocument/2006/relationships/theme" Target="theme/theme1.xml"/><Relationship Id="rId10" Type="http://schemas.openxmlformats.org/officeDocument/2006/relationships/hyperlink" Target="https://commons.lbl.gov/display/harc/HARP+System"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commons.lbl.gov/display/harc/Human+Subjects+Committee" TargetMode="External"/><Relationship Id="rId14" Type="http://schemas.openxmlformats.org/officeDocument/2006/relationships/hyperlink" Target="https://commons.lbl.gov/display/harc/Home"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Pages>
  <Words>2524</Words>
  <Characters>14387</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Kelsey Miller</dc:creator>
  <cp:keywords/>
  <cp:lastModifiedBy>KSMiller</cp:lastModifiedBy>
  <cp:revision>5</cp:revision>
  <cp:lastPrinted>2019-07-12T20:34:00Z</cp:lastPrinted>
  <dcterms:created xsi:type="dcterms:W3CDTF">2022-04-04T15:50:00Z</dcterms:created>
  <dcterms:modified xsi:type="dcterms:W3CDTF">2025-03-17T20:49:00Z</dcterms:modified>
</cp:coreProperties>
</file>